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65FB3D" w14:textId="3C13C1C7" w:rsidR="00EB5D12" w:rsidRPr="00FF2308" w:rsidRDefault="00EB5D12" w:rsidP="00EB5D12">
      <w:pPr>
        <w:pStyle w:val="Header"/>
        <w:tabs>
          <w:tab w:val="right" w:pos="9639"/>
        </w:tabs>
        <w:jc w:val="both"/>
        <w:rPr>
          <w:noProof w:val="0"/>
          <w:sz w:val="24"/>
          <w:szCs w:val="24"/>
          <w:lang w:val="sv-SE"/>
        </w:rPr>
      </w:pPr>
      <w:r w:rsidRPr="00FF31D8">
        <w:rPr>
          <w:noProof w:val="0"/>
          <w:sz w:val="24"/>
          <w:szCs w:val="24"/>
          <w:lang w:val="sv-SE"/>
        </w:rPr>
        <w:t>3GPP TSG-RAN WG4 Meeting #</w:t>
      </w:r>
      <w:r>
        <w:rPr>
          <w:noProof w:val="0"/>
          <w:sz w:val="24"/>
          <w:szCs w:val="24"/>
          <w:lang w:val="sv-SE"/>
        </w:rPr>
        <w:t>80</w:t>
      </w:r>
      <w:r w:rsidR="00400EA4">
        <w:rPr>
          <w:noProof w:val="0"/>
          <w:sz w:val="24"/>
          <w:szCs w:val="24"/>
          <w:lang w:val="sv-SE"/>
        </w:rPr>
        <w:t>bis</w:t>
      </w:r>
      <w:r>
        <w:rPr>
          <w:noProof w:val="0"/>
          <w:sz w:val="24"/>
          <w:szCs w:val="24"/>
          <w:lang w:val="sv-SE"/>
        </w:rPr>
        <w:tab/>
        <w:t>R4-</w:t>
      </w:r>
      <w:r w:rsidR="00F574B5">
        <w:rPr>
          <w:noProof w:val="0"/>
          <w:sz w:val="24"/>
          <w:szCs w:val="24"/>
          <w:lang w:val="sv-SE"/>
        </w:rPr>
        <w:t>167938</w:t>
      </w:r>
    </w:p>
    <w:p w14:paraId="5F643072" w14:textId="6A39FAE7" w:rsidR="00EB5D12" w:rsidRDefault="00F574B5" w:rsidP="00EB5D12">
      <w:pPr>
        <w:pStyle w:val="CRCoverPage"/>
        <w:outlineLvl w:val="0"/>
        <w:rPr>
          <w:b/>
          <w:noProof/>
          <w:sz w:val="24"/>
        </w:rPr>
      </w:pPr>
      <w:r>
        <w:rPr>
          <w:b/>
          <w:sz w:val="24"/>
          <w:szCs w:val="24"/>
        </w:rPr>
        <w:t>Ljubl</w:t>
      </w:r>
      <w:r w:rsidR="00400EA4" w:rsidRPr="00400EA4">
        <w:rPr>
          <w:b/>
          <w:sz w:val="24"/>
          <w:szCs w:val="24"/>
        </w:rPr>
        <w:t>jana</w:t>
      </w:r>
      <w:r w:rsidR="00EB5D12">
        <w:rPr>
          <w:b/>
          <w:noProof/>
          <w:sz w:val="24"/>
        </w:rPr>
        <w:t xml:space="preserve">, </w:t>
      </w:r>
      <w:r w:rsidR="00400EA4" w:rsidRPr="00400EA4">
        <w:rPr>
          <w:b/>
          <w:sz w:val="24"/>
          <w:szCs w:val="24"/>
        </w:rPr>
        <w:t>Slovenia</w:t>
      </w:r>
      <w:r w:rsidR="00EB5D12">
        <w:rPr>
          <w:b/>
          <w:noProof/>
          <w:sz w:val="24"/>
        </w:rPr>
        <w:t xml:space="preserve">, </w:t>
      </w:r>
      <w:fldSimple w:instr=" DOCPROPERTY  StartDate  \* MERGEFORMAT ">
        <w:r w:rsidR="00400EA4">
          <w:rPr>
            <w:b/>
            <w:noProof/>
            <w:sz w:val="24"/>
          </w:rPr>
          <w:t>10</w:t>
        </w:r>
        <w:r w:rsidR="00400EA4" w:rsidRPr="00400EA4">
          <w:rPr>
            <w:b/>
            <w:noProof/>
            <w:sz w:val="24"/>
            <w:vertAlign w:val="superscript"/>
          </w:rPr>
          <w:t>th</w:t>
        </w:r>
        <w:r w:rsidR="00400EA4">
          <w:rPr>
            <w:b/>
            <w:noProof/>
            <w:sz w:val="24"/>
          </w:rPr>
          <w:t xml:space="preserve"> </w:t>
        </w:r>
        <w:r w:rsidR="00EB5D12" w:rsidRPr="00BA51D9">
          <w:rPr>
            <w:b/>
            <w:noProof/>
            <w:sz w:val="24"/>
          </w:rPr>
          <w:t>Aug 2016</w:t>
        </w:r>
      </w:fldSimple>
      <w:r w:rsidR="00EB5D12">
        <w:rPr>
          <w:b/>
          <w:noProof/>
          <w:sz w:val="24"/>
        </w:rPr>
        <w:t xml:space="preserve"> </w:t>
      </w:r>
      <w:r w:rsidR="00400EA4">
        <w:rPr>
          <w:b/>
          <w:noProof/>
          <w:sz w:val="24"/>
        </w:rPr>
        <w:t>–</w:t>
      </w:r>
      <w:r w:rsidR="00EB5D12">
        <w:rPr>
          <w:b/>
          <w:noProof/>
          <w:sz w:val="24"/>
        </w:rPr>
        <w:t xml:space="preserve"> </w:t>
      </w:r>
      <w:fldSimple w:instr=" DOCPROPERTY  EndDate  \* MERGEFORMAT ">
        <w:r w:rsidR="00400EA4">
          <w:rPr>
            <w:b/>
            <w:noProof/>
            <w:sz w:val="24"/>
          </w:rPr>
          <w:t>14</w:t>
        </w:r>
        <w:r w:rsidR="00400EA4" w:rsidRPr="00400EA4">
          <w:rPr>
            <w:b/>
            <w:noProof/>
            <w:sz w:val="24"/>
            <w:vertAlign w:val="superscript"/>
          </w:rPr>
          <w:t>th</w:t>
        </w:r>
        <w:r w:rsidR="00400EA4">
          <w:rPr>
            <w:b/>
            <w:noProof/>
            <w:sz w:val="24"/>
          </w:rPr>
          <w:t xml:space="preserve"> Oct</w:t>
        </w:r>
        <w:r w:rsidR="00EB5D12" w:rsidRPr="00BA51D9">
          <w:rPr>
            <w:b/>
            <w:noProof/>
            <w:sz w:val="24"/>
          </w:rPr>
          <w:t xml:space="preserve"> 2016</w:t>
        </w:r>
      </w:fldSimple>
    </w:p>
    <w:p w14:paraId="21A364BA" w14:textId="77777777" w:rsidR="00EB5D12" w:rsidRPr="008C4D7E" w:rsidRDefault="00EB5D12" w:rsidP="00EB5D12">
      <w:pPr>
        <w:pStyle w:val="Header"/>
        <w:tabs>
          <w:tab w:val="left" w:pos="1127"/>
          <w:tab w:val="left" w:pos="2515"/>
        </w:tabs>
        <w:jc w:val="both"/>
        <w:rPr>
          <w:noProof w:val="0"/>
          <w:lang w:val="en-GB"/>
        </w:rPr>
      </w:pPr>
      <w:r>
        <w:rPr>
          <w:noProof w:val="0"/>
          <w:lang w:val="en-GB"/>
        </w:rPr>
        <w:tab/>
      </w:r>
      <w:r>
        <w:rPr>
          <w:noProof w:val="0"/>
          <w:lang w:val="en-GB"/>
        </w:rPr>
        <w:tab/>
      </w:r>
    </w:p>
    <w:p w14:paraId="145BE8D9" w14:textId="77777777" w:rsidR="00EB5D12" w:rsidRDefault="00EB5D12" w:rsidP="00EB5D12">
      <w:pPr>
        <w:pStyle w:val="Footer"/>
        <w:jc w:val="both"/>
        <w:rPr>
          <w:noProof w:val="0"/>
        </w:rPr>
      </w:pPr>
    </w:p>
    <w:p w14:paraId="250085EE" w14:textId="29845ACB" w:rsidR="00EB5D12" w:rsidRDefault="00EB5D12" w:rsidP="00EB5D12">
      <w:pPr>
        <w:tabs>
          <w:tab w:val="left" w:pos="1985"/>
        </w:tabs>
        <w:jc w:val="both"/>
        <w:rPr>
          <w:rFonts w:ascii="Arial" w:hAnsi="Arial"/>
          <w:sz w:val="24"/>
          <w:lang w:val="en-US"/>
        </w:rPr>
      </w:pPr>
      <w:r>
        <w:rPr>
          <w:rFonts w:ascii="Arial" w:hAnsi="Arial"/>
          <w:b/>
          <w:sz w:val="24"/>
          <w:lang w:val="en-US"/>
        </w:rPr>
        <w:t>Agenda item:</w:t>
      </w:r>
      <w:r w:rsidR="00F574B5">
        <w:rPr>
          <w:rFonts w:ascii="Arial" w:hAnsi="Arial"/>
          <w:sz w:val="24"/>
          <w:lang w:val="en-US"/>
        </w:rPr>
        <w:tab/>
        <w:t>8.19</w:t>
      </w:r>
      <w:r>
        <w:rPr>
          <w:rFonts w:ascii="Arial" w:hAnsi="Arial"/>
          <w:sz w:val="24"/>
          <w:lang w:val="en-US"/>
        </w:rPr>
        <w:t>.</w:t>
      </w:r>
      <w:r w:rsidR="00F574B5">
        <w:rPr>
          <w:rFonts w:ascii="Arial" w:hAnsi="Arial"/>
          <w:sz w:val="24"/>
          <w:lang w:val="en-US"/>
        </w:rPr>
        <w:t>2</w:t>
      </w:r>
    </w:p>
    <w:p w14:paraId="201EBEAD" w14:textId="77777777" w:rsidR="00EB5D12" w:rsidRDefault="00EB5D12" w:rsidP="00EB5D12">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5685A3B3" w14:textId="6543E144" w:rsidR="00EB5D12" w:rsidRPr="00F60377" w:rsidRDefault="00EB5D12" w:rsidP="00EB5D12">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t>GNSS Signal Quality Requirement</w:t>
      </w:r>
      <w:r w:rsidRPr="00D1325C">
        <w:rPr>
          <w:rFonts w:ascii="Arial" w:hAnsi="Arial"/>
          <w:sz w:val="24"/>
          <w:lang w:val="en-US"/>
        </w:rPr>
        <w:t xml:space="preserve"> for LTE-V2V</w:t>
      </w:r>
      <w:r w:rsidRPr="00D1325C">
        <w:rPr>
          <w:rFonts w:ascii="Arial" w:hAnsi="Arial"/>
          <w:sz w:val="24"/>
          <w:lang w:val="en-US"/>
        </w:rPr>
        <w:tab/>
      </w:r>
    </w:p>
    <w:p w14:paraId="5FE5F459" w14:textId="77777777" w:rsidR="00EB5D12" w:rsidRDefault="00EB5D12" w:rsidP="00EB5D12">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t>Approval</w:t>
      </w:r>
    </w:p>
    <w:p w14:paraId="13DBF0DF" w14:textId="77777777" w:rsidR="00EB5D12" w:rsidRDefault="00EB5D12" w:rsidP="00EB5D12">
      <w:pPr>
        <w:pStyle w:val="Heading1"/>
        <w:jc w:val="both"/>
        <w:rPr>
          <w:lang w:val="en-US"/>
        </w:rPr>
      </w:pPr>
      <w:r>
        <w:rPr>
          <w:lang w:val="en-US"/>
        </w:rPr>
        <w:t>Introduction</w:t>
      </w:r>
    </w:p>
    <w:p w14:paraId="0B6C35F5" w14:textId="57D60173" w:rsidR="00EB5D12" w:rsidRDefault="00EB5D12" w:rsidP="00EB5D12">
      <w:pPr>
        <w:jc w:val="both"/>
        <w:rPr>
          <w:lang w:val="en-US"/>
        </w:rPr>
      </w:pPr>
      <w:r>
        <w:rPr>
          <w:lang w:val="en-US"/>
        </w:rPr>
        <w:t xml:space="preserve">In RAN4 #80, RAN4 discussed the RRM requirements for LTE-V2V (enhancements to Sidelink for V2V services), and a way forwards on the core requirements were </w:t>
      </w:r>
      <w:r w:rsidRPr="00554DE2">
        <w:rPr>
          <w:highlight w:val="green"/>
          <w:lang w:val="en-US"/>
        </w:rPr>
        <w:t>agreed</w:t>
      </w:r>
      <w:r>
        <w:rPr>
          <w:lang w:val="en-US"/>
        </w:rPr>
        <w:t xml:space="preserve"> in </w:t>
      </w:r>
      <w:commentRangeStart w:id="0"/>
      <w:r>
        <w:rPr>
          <w:lang w:val="en-US"/>
        </w:rPr>
        <w:t>[</w:t>
      </w:r>
      <w:r w:rsidR="00554DE2">
        <w:rPr>
          <w:lang w:val="en-US"/>
        </w:rPr>
        <w:t>1</w:t>
      </w:r>
      <w:r>
        <w:rPr>
          <w:lang w:val="en-US"/>
        </w:rPr>
        <w:t>]</w:t>
      </w:r>
      <w:commentRangeEnd w:id="0"/>
      <w:r w:rsidR="007651D7">
        <w:rPr>
          <w:rStyle w:val="CommentReference"/>
        </w:rPr>
        <w:commentReference w:id="0"/>
      </w:r>
      <w:r>
        <w:rPr>
          <w:lang w:val="en-US"/>
        </w:rPr>
        <w:t>.</w:t>
      </w:r>
    </w:p>
    <w:p w14:paraId="2BA575DF" w14:textId="77777777" w:rsidR="00A25C4F" w:rsidRPr="004C768B" w:rsidRDefault="00523E1A" w:rsidP="004C768B">
      <w:pPr>
        <w:numPr>
          <w:ilvl w:val="0"/>
          <w:numId w:val="6"/>
        </w:numPr>
        <w:rPr>
          <w:lang w:val="en-US"/>
        </w:rPr>
      </w:pPr>
      <w:r w:rsidRPr="004C768B">
        <w:rPr>
          <w:lang w:val="en-US"/>
        </w:rPr>
        <w:t>UE should use GNSS synchronization source in case it has sufficient reliability</w:t>
      </w:r>
    </w:p>
    <w:p w14:paraId="05A7B239" w14:textId="77777777" w:rsidR="00A25C4F" w:rsidRPr="004C768B" w:rsidRDefault="00523E1A" w:rsidP="004C768B">
      <w:pPr>
        <w:numPr>
          <w:ilvl w:val="1"/>
          <w:numId w:val="6"/>
        </w:numPr>
        <w:rPr>
          <w:lang w:val="en-US"/>
        </w:rPr>
      </w:pPr>
      <w:r w:rsidRPr="004C768B">
        <w:rPr>
          <w:lang w:val="en-US"/>
        </w:rPr>
        <w:t xml:space="preserve">GNSS synchronization source is considered to have sufficient reliability in case </w:t>
      </w:r>
    </w:p>
    <w:p w14:paraId="0D6CEFC1" w14:textId="7730562B" w:rsidR="00A25C4F" w:rsidRPr="004C768B" w:rsidRDefault="001A6589" w:rsidP="004C768B">
      <w:pPr>
        <w:numPr>
          <w:ilvl w:val="2"/>
          <w:numId w:val="6"/>
        </w:numPr>
        <w:rPr>
          <w:lang w:val="en-US"/>
        </w:rPr>
      </w:pPr>
      <w:r>
        <w:rPr>
          <w:lang w:val="en-US"/>
        </w:rPr>
        <w:t>O</w:t>
      </w:r>
      <w:r w:rsidR="00523E1A" w:rsidRPr="004C768B">
        <w:rPr>
          <w:lang w:val="en-US"/>
        </w:rPr>
        <w:t>ption1: it allows UE to satisfy the timing and frequency accuracy requirements. The side condition for GNSS signal so that the derived timing and frequency accuracy meet the requirements will not be specified.</w:t>
      </w:r>
      <w:bookmarkStart w:id="1" w:name="_GoBack"/>
      <w:bookmarkEnd w:id="1"/>
    </w:p>
    <w:p w14:paraId="273677B0" w14:textId="77777777" w:rsidR="00A25C4F" w:rsidRPr="004C768B" w:rsidRDefault="00523E1A" w:rsidP="004C768B">
      <w:pPr>
        <w:numPr>
          <w:ilvl w:val="2"/>
          <w:numId w:val="6"/>
        </w:numPr>
        <w:rPr>
          <w:lang w:val="en-US"/>
        </w:rPr>
      </w:pPr>
      <w:r w:rsidRPr="004C768B">
        <w:rPr>
          <w:lang w:val="en-US"/>
        </w:rPr>
        <w:t>Option2 : GNSS meets the minimum signal level requirement [example] defined in  TS36.171</w:t>
      </w:r>
    </w:p>
    <w:p w14:paraId="6F9A53BB" w14:textId="77777777" w:rsidR="00A25C4F" w:rsidRPr="004C768B" w:rsidRDefault="00523E1A" w:rsidP="004C768B">
      <w:pPr>
        <w:numPr>
          <w:ilvl w:val="2"/>
          <w:numId w:val="6"/>
        </w:numPr>
        <w:rPr>
          <w:lang w:val="en-US"/>
        </w:rPr>
      </w:pPr>
      <w:r w:rsidRPr="004C768B">
        <w:rPr>
          <w:lang w:val="en-US"/>
        </w:rPr>
        <w:lastRenderedPageBreak/>
        <w:t>Other option are not precluded</w:t>
      </w:r>
    </w:p>
    <w:p w14:paraId="0E8B2100" w14:textId="77777777" w:rsidR="00A25C4F" w:rsidRPr="004C768B" w:rsidRDefault="00523E1A" w:rsidP="004C768B">
      <w:pPr>
        <w:numPr>
          <w:ilvl w:val="0"/>
          <w:numId w:val="6"/>
        </w:numPr>
        <w:rPr>
          <w:lang w:val="en-US"/>
        </w:rPr>
      </w:pPr>
      <w:r w:rsidRPr="004C768B">
        <w:rPr>
          <w:lang w:val="en-US"/>
        </w:rPr>
        <w:t>In case of unreliable GNSS synchronization source, no procedures will be defined.</w:t>
      </w:r>
    </w:p>
    <w:p w14:paraId="6F4C70F1" w14:textId="6317A317" w:rsidR="00EB5D12" w:rsidRDefault="00EB5D12" w:rsidP="00C07930">
      <w:pPr>
        <w:jc w:val="both"/>
        <w:rPr>
          <w:lang w:val="en-US"/>
        </w:rPr>
      </w:pPr>
      <w:r>
        <w:rPr>
          <w:lang w:val="en-US"/>
        </w:rPr>
        <w:t>In this paper, we present discussion</w:t>
      </w:r>
      <w:r w:rsidR="007F5350">
        <w:rPr>
          <w:lang w:val="en-US"/>
        </w:rPr>
        <w:t xml:space="preserve"> core requirement for</w:t>
      </w:r>
      <w:r>
        <w:rPr>
          <w:lang w:val="en-US"/>
        </w:rPr>
        <w:t xml:space="preserve"> </w:t>
      </w:r>
      <w:r w:rsidR="00C07930">
        <w:rPr>
          <w:lang w:val="en-US"/>
        </w:rPr>
        <w:t xml:space="preserve">GNSS </w:t>
      </w:r>
      <w:r w:rsidR="007F5350">
        <w:rPr>
          <w:lang w:val="en-US"/>
        </w:rPr>
        <w:t>based synchronization:</w:t>
      </w:r>
    </w:p>
    <w:p w14:paraId="6A15D84B" w14:textId="239C8473" w:rsidR="007F5350" w:rsidRDefault="007F5350" w:rsidP="007F5350">
      <w:pPr>
        <w:pStyle w:val="ListParagraph"/>
        <w:numPr>
          <w:ilvl w:val="0"/>
          <w:numId w:val="5"/>
        </w:numPr>
        <w:jc w:val="both"/>
        <w:rPr>
          <w:lang w:val="en-US"/>
        </w:rPr>
      </w:pPr>
      <w:r>
        <w:rPr>
          <w:lang w:val="en-US"/>
        </w:rPr>
        <w:t>GNSS Signal Strength Requirement</w:t>
      </w:r>
    </w:p>
    <w:p w14:paraId="3DB6A9CA" w14:textId="4691EFFE" w:rsidR="007F5350" w:rsidRPr="007F5350" w:rsidRDefault="007F5350" w:rsidP="007F5350">
      <w:pPr>
        <w:pStyle w:val="ListParagraph"/>
        <w:numPr>
          <w:ilvl w:val="0"/>
          <w:numId w:val="5"/>
        </w:numPr>
        <w:jc w:val="both"/>
        <w:rPr>
          <w:lang w:val="en-US"/>
        </w:rPr>
      </w:pPr>
      <w:r>
        <w:rPr>
          <w:lang w:val="en-US"/>
        </w:rPr>
        <w:t>Timing offset from GNSS derived time to DFN boundary</w:t>
      </w:r>
    </w:p>
    <w:p w14:paraId="6295CAE7" w14:textId="77777777" w:rsidR="00EB5D12" w:rsidRDefault="00EB5D12" w:rsidP="00EB5D12">
      <w:pPr>
        <w:pStyle w:val="Heading1"/>
        <w:jc w:val="both"/>
        <w:rPr>
          <w:lang w:val="en-US"/>
        </w:rPr>
      </w:pPr>
      <w:r>
        <w:rPr>
          <w:lang w:val="en-US"/>
        </w:rPr>
        <w:t>GNSS related requirements</w:t>
      </w:r>
    </w:p>
    <w:p w14:paraId="6DCAF978" w14:textId="409F7868" w:rsidR="00AB1C78" w:rsidRDefault="00AB1C78" w:rsidP="00EB5D12">
      <w:pPr>
        <w:tabs>
          <w:tab w:val="left" w:pos="5816"/>
        </w:tabs>
        <w:jc w:val="both"/>
        <w:rPr>
          <w:lang w:val="en-US"/>
        </w:rPr>
      </w:pPr>
      <w:r>
        <w:rPr>
          <w:lang w:val="en-US"/>
        </w:rPr>
        <w:t xml:space="preserve">If left to UE implementation, UE vendor can decide to relax the actual accuracy requirements as long as the UE performance is not affected. On the other hand that the time and frequency offset of an UE </w:t>
      </w:r>
      <w:r w:rsidR="00AB1DCF">
        <w:rPr>
          <w:lang w:val="en-US"/>
        </w:rPr>
        <w:t>do not only affect</w:t>
      </w:r>
      <w:r>
        <w:rPr>
          <w:lang w:val="en-US"/>
        </w:rPr>
        <w:t xml:space="preserve"> its own Rx performance, but also makes its transmission harder for other UE to receive. Given that V2V operation is </w:t>
      </w:r>
      <w:r w:rsidR="007651D7">
        <w:rPr>
          <w:lang w:val="en-US"/>
        </w:rPr>
        <w:t xml:space="preserve">most important at </w:t>
      </w:r>
      <w:r>
        <w:rPr>
          <w:lang w:val="en-US"/>
        </w:rPr>
        <w:t>high speed, the degradation comes from extra time/frequency offset</w:t>
      </w:r>
      <w:r w:rsidR="00554DE2">
        <w:rPr>
          <w:lang w:val="en-US"/>
        </w:rPr>
        <w:t xml:space="preserve"> may be unacceptable</w:t>
      </w:r>
      <w:r>
        <w:rPr>
          <w:lang w:val="en-US"/>
        </w:rPr>
        <w:t>. Thus</w:t>
      </w:r>
      <w:r w:rsidR="004C768B">
        <w:rPr>
          <w:lang w:val="en-US"/>
        </w:rPr>
        <w:t>, it is necessary to test the timing accuracy requirement in order to ensure uniform minimum performance for all devices.</w:t>
      </w:r>
      <w:r>
        <w:rPr>
          <w:lang w:val="en-US"/>
        </w:rPr>
        <w:t xml:space="preserve"> We propose RAN4 to adopt option 2. </w:t>
      </w:r>
    </w:p>
    <w:p w14:paraId="04D56F94" w14:textId="51AC3FE6" w:rsidR="00AB1DCF" w:rsidRPr="00554DE2" w:rsidRDefault="00AB1DCF" w:rsidP="00AB1DCF">
      <w:pPr>
        <w:rPr>
          <w:i/>
          <w:lang w:val="en-US"/>
        </w:rPr>
      </w:pPr>
      <w:r w:rsidRPr="00554DE2">
        <w:rPr>
          <w:b/>
          <w:i/>
          <w:u w:val="single"/>
          <w:lang w:val="en-US"/>
        </w:rPr>
        <w:t>Observation 1:</w:t>
      </w:r>
      <w:r w:rsidRPr="00554DE2">
        <w:rPr>
          <w:i/>
          <w:lang w:val="en-US"/>
        </w:rPr>
        <w:t xml:space="preserve"> V2V communication has to support high speed, which is prone to extra time/frequency offset error. So it is important to ensure that the time/frequency accuracy requirements are always met.</w:t>
      </w:r>
    </w:p>
    <w:p w14:paraId="29217119" w14:textId="50CF0E0D" w:rsidR="00AB1DCF" w:rsidRDefault="00AB1DCF" w:rsidP="00AB1DCF">
      <w:pPr>
        <w:rPr>
          <w:lang w:val="en-US"/>
        </w:rPr>
      </w:pPr>
      <w:r w:rsidRPr="00554DE2">
        <w:rPr>
          <w:b/>
          <w:u w:val="single"/>
          <w:lang w:val="en-US"/>
        </w:rPr>
        <w:t>Proposal 1:</w:t>
      </w:r>
      <w:r>
        <w:rPr>
          <w:lang w:val="en-US"/>
        </w:rPr>
        <w:t xml:space="preserve"> </w:t>
      </w:r>
      <w:r w:rsidRPr="00554DE2">
        <w:rPr>
          <w:b/>
          <w:lang w:val="en-US"/>
        </w:rPr>
        <w:t>RAN4 adopt option 2, GNSS synchronization source is considered to have sufficient reliability in case GNSS meets the minimum signal level requirement.</w:t>
      </w:r>
    </w:p>
    <w:p w14:paraId="5EDE8A8E" w14:textId="5D95A45B" w:rsidR="00EB5D12" w:rsidRDefault="00AB1DCF" w:rsidP="00EB5D12">
      <w:pPr>
        <w:tabs>
          <w:tab w:val="left" w:pos="5816"/>
        </w:tabs>
        <w:jc w:val="both"/>
        <w:rPr>
          <w:lang w:val="en-US"/>
        </w:rPr>
      </w:pPr>
      <w:r>
        <w:rPr>
          <w:lang w:val="en-US"/>
        </w:rPr>
        <w:t xml:space="preserve"> We recall that i</w:t>
      </w:r>
      <w:r w:rsidR="00EB5D12">
        <w:rPr>
          <w:lang w:val="en-US"/>
        </w:rPr>
        <w:t xml:space="preserve">n isolation, the timing accuracy requirements cannot be tested without additionally specifying the min signal quality level for GNSS for which those have to be met. This is similar to what is done for legacy, where </w:t>
      </w:r>
      <w:r w:rsidR="00EB5D12">
        <w:rPr>
          <w:lang w:val="en-US"/>
        </w:rPr>
        <w:lastRenderedPageBreak/>
        <w:t>the min cell RSRP is defined (for example) at which the identification and measurement requirements have to be met [Appendix B in 36.133].</w:t>
      </w:r>
    </w:p>
    <w:p w14:paraId="1A764873" w14:textId="77777777" w:rsidR="00EB5D12" w:rsidRDefault="00EB5D12" w:rsidP="00EB5D12">
      <w:pPr>
        <w:tabs>
          <w:tab w:val="left" w:pos="5816"/>
        </w:tabs>
        <w:jc w:val="both"/>
        <w:rPr>
          <w:lang w:val="en-US"/>
        </w:rPr>
      </w:pPr>
      <w:r>
        <w:rPr>
          <w:lang w:val="en-US"/>
        </w:rPr>
        <w:t>The timing accuracy requirement with GNSS as the synchronization reference is thus required to be met only when under ‘good GNSS signal condition”. The ‘good GNSS signal condition’ here refers to the min signal GNSS quality at which the UE can get a fix on the satellites and reach the desired level of accuracy (for position and timing). To define this minimum GNSS signal quality, we propose to adopt the requirements from TS 36.171. The specification TS 36.171 contains the requirements for assisted GNSS. In Section 6.2 of TS 36.171, the nominal accuracy requirements are specified for ideal conditions that can be met without assistance data, and in Section 6.3 of TS 36.171, the improved accuracy requirements are specified that require assistance data to be met. Hence we propose to reuse the requirements of Section 6.2 of TS 36.171 (i.e. without assistance data) to define the minimum GNSS signal quality in RAN4 for V2V requirements.</w:t>
      </w:r>
    </w:p>
    <w:p w14:paraId="46C6159B" w14:textId="77777777" w:rsidR="00EB5D12" w:rsidRDefault="00EB5D12" w:rsidP="00EB5D12">
      <w:pPr>
        <w:tabs>
          <w:tab w:val="left" w:pos="5816"/>
        </w:tabs>
        <w:jc w:val="both"/>
        <w:rPr>
          <w:lang w:val="en-US"/>
        </w:rPr>
      </w:pPr>
      <w:r>
        <w:rPr>
          <w:lang w:val="en-US"/>
        </w:rPr>
        <w:t xml:space="preserve">From TS 36.171, the test parameters (minimum RSSI, # satellites, etc) can be defined in </w:t>
      </w:r>
      <w:r>
        <w:rPr>
          <w:lang w:val="en-US"/>
        </w:rPr>
        <w:fldChar w:fldCharType="begin"/>
      </w:r>
      <w:r>
        <w:rPr>
          <w:lang w:val="en-US"/>
        </w:rPr>
        <w:instrText xml:space="preserve"> REF _Ref458786709 \h </w:instrText>
      </w:r>
      <w:r>
        <w:rPr>
          <w:lang w:val="en-US"/>
        </w:rPr>
      </w:r>
      <w:r>
        <w:rPr>
          <w:lang w:val="en-US"/>
        </w:rPr>
        <w:fldChar w:fldCharType="separate"/>
      </w:r>
      <w:r>
        <w:t xml:space="preserve">Table </w:t>
      </w:r>
      <w:r>
        <w:rPr>
          <w:noProof/>
        </w:rPr>
        <w:t>1</w:t>
      </w:r>
      <w:r>
        <w:rPr>
          <w:lang w:val="en-US"/>
        </w:rPr>
        <w:fldChar w:fldCharType="end"/>
      </w:r>
      <w:r>
        <w:rPr>
          <w:lang w:val="en-US"/>
        </w:rPr>
        <w:t>.</w:t>
      </w:r>
    </w:p>
    <w:p w14:paraId="3837AD22" w14:textId="77777777" w:rsidR="00EB5D12" w:rsidRDefault="00EB5D12" w:rsidP="00EB5D12">
      <w:pPr>
        <w:pStyle w:val="Caption"/>
        <w:keepNext/>
        <w:jc w:val="center"/>
      </w:pPr>
      <w:bookmarkStart w:id="2" w:name="_Ref458786709"/>
      <w:r>
        <w:t xml:space="preserve">Table </w:t>
      </w:r>
      <w:r>
        <w:fldChar w:fldCharType="begin"/>
      </w:r>
      <w:r>
        <w:instrText xml:space="preserve"> SEQ Table \* ARABIC </w:instrText>
      </w:r>
      <w:r>
        <w:fldChar w:fldCharType="separate"/>
      </w:r>
      <w:r>
        <w:rPr>
          <w:noProof/>
        </w:rPr>
        <w:t>1</w:t>
      </w:r>
      <w:r>
        <w:fldChar w:fldCharType="end"/>
      </w:r>
      <w:bookmarkEnd w:id="2"/>
      <w:r>
        <w:t xml:space="preserve">: Test parameters (minimum RSSI of satellites, #satellites, etc.) for GNSS signal quality </w:t>
      </w:r>
      <w:r>
        <w:br/>
        <w:t>[Section 6.2, TS 36.171]</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EB5D12" w:rsidRPr="005C21A5" w14:paraId="37269A57" w14:textId="77777777" w:rsidTr="005B37AD">
        <w:tc>
          <w:tcPr>
            <w:tcW w:w="9289" w:type="dxa"/>
            <w:shd w:val="clear" w:color="auto" w:fill="auto"/>
          </w:tcPr>
          <w:p w14:paraId="4AF9B250" w14:textId="77777777" w:rsidR="00EB5D12" w:rsidRPr="007505ED" w:rsidRDefault="00EB5D12" w:rsidP="005B37AD">
            <w:pPr>
              <w:pStyle w:val="TH"/>
            </w:pPr>
            <w:r w:rsidRPr="007505ED">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6"/>
              <w:gridCol w:w="4162"/>
              <w:gridCol w:w="959"/>
              <w:gridCol w:w="1446"/>
            </w:tblGrid>
            <w:tr w:rsidR="00EB5D12" w:rsidRPr="007505ED" w14:paraId="5F844881" w14:textId="77777777" w:rsidTr="005B37AD">
              <w:trPr>
                <w:tblHeader/>
                <w:jc w:val="center"/>
              </w:trPr>
              <w:tc>
                <w:tcPr>
                  <w:tcW w:w="0" w:type="auto"/>
                </w:tcPr>
                <w:p w14:paraId="683A9368" w14:textId="77777777" w:rsidR="00EB5D12" w:rsidRPr="007505ED" w:rsidRDefault="00EB5D12" w:rsidP="005B37AD">
                  <w:pPr>
                    <w:pStyle w:val="TAH"/>
                  </w:pPr>
                  <w:r w:rsidRPr="007505ED">
                    <w:t>System</w:t>
                  </w:r>
                </w:p>
              </w:tc>
              <w:tc>
                <w:tcPr>
                  <w:tcW w:w="0" w:type="auto"/>
                </w:tcPr>
                <w:p w14:paraId="2A35EFA6" w14:textId="77777777" w:rsidR="00EB5D12" w:rsidRPr="007505ED" w:rsidRDefault="00EB5D12" w:rsidP="005B37AD">
                  <w:pPr>
                    <w:pStyle w:val="TAH"/>
                  </w:pPr>
                  <w:r w:rsidRPr="007505ED">
                    <w:t>Parameters</w:t>
                  </w:r>
                </w:p>
              </w:tc>
              <w:tc>
                <w:tcPr>
                  <w:tcW w:w="0" w:type="auto"/>
                </w:tcPr>
                <w:p w14:paraId="7237783C" w14:textId="77777777" w:rsidR="00EB5D12" w:rsidRPr="007505ED" w:rsidRDefault="00EB5D12" w:rsidP="005B37AD">
                  <w:pPr>
                    <w:pStyle w:val="TAH"/>
                  </w:pPr>
                  <w:r w:rsidRPr="007505ED">
                    <w:t>Unit</w:t>
                  </w:r>
                </w:p>
              </w:tc>
              <w:tc>
                <w:tcPr>
                  <w:tcW w:w="0" w:type="auto"/>
                </w:tcPr>
                <w:p w14:paraId="550C9A32" w14:textId="77777777" w:rsidR="00EB5D12" w:rsidRPr="007505ED" w:rsidRDefault="00EB5D12" w:rsidP="005B37AD">
                  <w:pPr>
                    <w:pStyle w:val="TAH"/>
                  </w:pPr>
                  <w:r w:rsidRPr="007505ED">
                    <w:t>Value</w:t>
                  </w:r>
                </w:p>
              </w:tc>
            </w:tr>
            <w:tr w:rsidR="00EB5D12" w:rsidRPr="007505ED" w14:paraId="452463B1" w14:textId="77777777" w:rsidTr="005B37AD">
              <w:trPr>
                <w:cantSplit/>
                <w:jc w:val="center"/>
              </w:trPr>
              <w:tc>
                <w:tcPr>
                  <w:tcW w:w="0" w:type="auto"/>
                  <w:vMerge w:val="restart"/>
                </w:tcPr>
                <w:p w14:paraId="70DE5C9E" w14:textId="77777777" w:rsidR="00EB5D12" w:rsidRPr="007505ED" w:rsidRDefault="00EB5D12" w:rsidP="005B37AD">
                  <w:pPr>
                    <w:pStyle w:val="TAL"/>
                  </w:pPr>
                </w:p>
              </w:tc>
              <w:tc>
                <w:tcPr>
                  <w:tcW w:w="0" w:type="auto"/>
                </w:tcPr>
                <w:p w14:paraId="1D941ED9" w14:textId="77777777" w:rsidR="00EB5D12" w:rsidRPr="007505ED" w:rsidRDefault="00EB5D12" w:rsidP="005B37AD">
                  <w:pPr>
                    <w:pStyle w:val="TAL"/>
                  </w:pPr>
                  <w:r w:rsidRPr="007505ED">
                    <w:t>Number of generated satellites per system</w:t>
                  </w:r>
                </w:p>
              </w:tc>
              <w:tc>
                <w:tcPr>
                  <w:tcW w:w="0" w:type="auto"/>
                </w:tcPr>
                <w:p w14:paraId="567031A3" w14:textId="77777777" w:rsidR="00EB5D12" w:rsidRPr="007505ED" w:rsidRDefault="00EB5D12" w:rsidP="005B37AD">
                  <w:pPr>
                    <w:pStyle w:val="TAC"/>
                  </w:pPr>
                  <w:r w:rsidRPr="007505ED">
                    <w:t>-</w:t>
                  </w:r>
                </w:p>
              </w:tc>
              <w:tc>
                <w:tcPr>
                  <w:tcW w:w="0" w:type="auto"/>
                </w:tcPr>
                <w:p w14:paraId="292D2D02" w14:textId="77777777" w:rsidR="00EB5D12" w:rsidRPr="007505ED" w:rsidRDefault="00EB5D12" w:rsidP="005B37AD">
                  <w:pPr>
                    <w:pStyle w:val="TAC"/>
                  </w:pPr>
                  <w:r w:rsidRPr="007505ED">
                    <w:t>See Table 6.8</w:t>
                  </w:r>
                </w:p>
              </w:tc>
            </w:tr>
            <w:tr w:rsidR="00EB5D12" w:rsidRPr="007505ED" w14:paraId="7EC9510B" w14:textId="77777777" w:rsidTr="005B37AD">
              <w:trPr>
                <w:cantSplit/>
                <w:jc w:val="center"/>
              </w:trPr>
              <w:tc>
                <w:tcPr>
                  <w:tcW w:w="0" w:type="auto"/>
                  <w:vMerge/>
                </w:tcPr>
                <w:p w14:paraId="20115F76" w14:textId="77777777" w:rsidR="00EB5D12" w:rsidRPr="007505ED" w:rsidRDefault="00EB5D12" w:rsidP="005B37AD">
                  <w:pPr>
                    <w:pStyle w:val="TAL"/>
                  </w:pPr>
                </w:p>
              </w:tc>
              <w:tc>
                <w:tcPr>
                  <w:tcW w:w="0" w:type="auto"/>
                </w:tcPr>
                <w:p w14:paraId="5587E365" w14:textId="77777777" w:rsidR="00EB5D12" w:rsidRPr="007505ED" w:rsidRDefault="00EB5D12" w:rsidP="005B37AD">
                  <w:pPr>
                    <w:pStyle w:val="TAL"/>
                  </w:pPr>
                  <w:r w:rsidRPr="007505ED">
                    <w:t xml:space="preserve">Total number of generated satellites </w:t>
                  </w:r>
                </w:p>
              </w:tc>
              <w:tc>
                <w:tcPr>
                  <w:tcW w:w="0" w:type="auto"/>
                </w:tcPr>
                <w:p w14:paraId="592B7600" w14:textId="77777777" w:rsidR="00EB5D12" w:rsidRPr="007505ED" w:rsidRDefault="00EB5D12" w:rsidP="005B37AD">
                  <w:pPr>
                    <w:pStyle w:val="TAC"/>
                  </w:pPr>
                  <w:r w:rsidRPr="007505ED">
                    <w:t>-</w:t>
                  </w:r>
                </w:p>
              </w:tc>
              <w:tc>
                <w:tcPr>
                  <w:tcW w:w="0" w:type="auto"/>
                </w:tcPr>
                <w:p w14:paraId="735AD5CF" w14:textId="77777777" w:rsidR="00EB5D12" w:rsidRPr="007505ED" w:rsidRDefault="00EB5D12" w:rsidP="005B37AD">
                  <w:pPr>
                    <w:pStyle w:val="TAC"/>
                  </w:pPr>
                  <w:r w:rsidRPr="007505ED">
                    <w:t>6 or 7</w:t>
                  </w:r>
                  <w:r w:rsidRPr="007505ED">
                    <w:rPr>
                      <w:vertAlign w:val="superscript"/>
                    </w:rPr>
                    <w:t>(2)</w:t>
                  </w:r>
                </w:p>
              </w:tc>
            </w:tr>
            <w:tr w:rsidR="00EB5D12" w:rsidRPr="007505ED" w14:paraId="5CBAE8F7" w14:textId="77777777" w:rsidTr="005B37AD">
              <w:trPr>
                <w:cantSplit/>
                <w:jc w:val="center"/>
              </w:trPr>
              <w:tc>
                <w:tcPr>
                  <w:tcW w:w="0" w:type="auto"/>
                  <w:vMerge/>
                </w:tcPr>
                <w:p w14:paraId="0C37141A" w14:textId="77777777" w:rsidR="00EB5D12" w:rsidRPr="007505ED" w:rsidRDefault="00EB5D12" w:rsidP="005B37AD">
                  <w:pPr>
                    <w:pStyle w:val="TAL"/>
                  </w:pPr>
                </w:p>
              </w:tc>
              <w:tc>
                <w:tcPr>
                  <w:tcW w:w="0" w:type="auto"/>
                </w:tcPr>
                <w:p w14:paraId="380ADBB9" w14:textId="77777777" w:rsidR="00EB5D12" w:rsidRPr="007505ED" w:rsidRDefault="00EB5D12" w:rsidP="005B37AD">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0" w:type="auto"/>
                </w:tcPr>
                <w:p w14:paraId="139C1D7A" w14:textId="77777777" w:rsidR="00EB5D12" w:rsidRPr="007505ED" w:rsidRDefault="00EB5D12" w:rsidP="005B37AD">
                  <w:pPr>
                    <w:pStyle w:val="TAC"/>
                  </w:pPr>
                  <w:r w:rsidRPr="007505ED">
                    <w:t>-</w:t>
                  </w:r>
                </w:p>
              </w:tc>
              <w:tc>
                <w:tcPr>
                  <w:tcW w:w="0" w:type="auto"/>
                </w:tcPr>
                <w:p w14:paraId="67239FEB" w14:textId="77777777" w:rsidR="00EB5D12" w:rsidRPr="007505ED" w:rsidRDefault="00EB5D12" w:rsidP="005B37AD">
                  <w:pPr>
                    <w:pStyle w:val="TAC"/>
                  </w:pPr>
                  <w:r w:rsidRPr="007505ED">
                    <w:t>1.4 to 2.1</w:t>
                  </w:r>
                </w:p>
              </w:tc>
            </w:tr>
            <w:tr w:rsidR="00EB5D12" w:rsidRPr="007505ED" w14:paraId="33847815" w14:textId="77777777" w:rsidTr="005B37AD">
              <w:trPr>
                <w:cantSplit/>
                <w:jc w:val="center"/>
              </w:trPr>
              <w:tc>
                <w:tcPr>
                  <w:tcW w:w="0" w:type="auto"/>
                  <w:vMerge/>
                </w:tcPr>
                <w:p w14:paraId="09882978" w14:textId="77777777" w:rsidR="00EB5D12" w:rsidRPr="007505ED" w:rsidRDefault="00EB5D12" w:rsidP="005B37AD">
                  <w:pPr>
                    <w:pStyle w:val="TAL"/>
                  </w:pPr>
                </w:p>
              </w:tc>
              <w:tc>
                <w:tcPr>
                  <w:tcW w:w="0" w:type="auto"/>
                </w:tcPr>
                <w:p w14:paraId="47AB9CFC" w14:textId="77777777" w:rsidR="00EB5D12" w:rsidRPr="007505ED" w:rsidRDefault="00EB5D12" w:rsidP="005B37AD">
                  <w:pPr>
                    <w:pStyle w:val="TAL"/>
                  </w:pPr>
                  <w:r w:rsidRPr="007505ED">
                    <w:t xml:space="preserve">Propagation conditions </w:t>
                  </w:r>
                </w:p>
              </w:tc>
              <w:tc>
                <w:tcPr>
                  <w:tcW w:w="0" w:type="auto"/>
                </w:tcPr>
                <w:p w14:paraId="1DB258D3" w14:textId="77777777" w:rsidR="00EB5D12" w:rsidRPr="007505ED" w:rsidRDefault="00EB5D12" w:rsidP="005B37AD">
                  <w:pPr>
                    <w:pStyle w:val="TAC"/>
                  </w:pPr>
                  <w:r w:rsidRPr="007505ED">
                    <w:t>-</w:t>
                  </w:r>
                </w:p>
              </w:tc>
              <w:tc>
                <w:tcPr>
                  <w:tcW w:w="0" w:type="auto"/>
                </w:tcPr>
                <w:p w14:paraId="5E0651FE" w14:textId="77777777" w:rsidR="00EB5D12" w:rsidRPr="007505ED" w:rsidRDefault="00EB5D12" w:rsidP="005B37AD">
                  <w:pPr>
                    <w:pStyle w:val="TAC"/>
                  </w:pPr>
                  <w:r w:rsidRPr="007505ED">
                    <w:t>AWGN</w:t>
                  </w:r>
                </w:p>
              </w:tc>
            </w:tr>
            <w:tr w:rsidR="00EB5D12" w:rsidRPr="007505ED" w14:paraId="2F994F94" w14:textId="77777777" w:rsidTr="005B37AD">
              <w:trPr>
                <w:cantSplit/>
                <w:jc w:val="center"/>
              </w:trPr>
              <w:tc>
                <w:tcPr>
                  <w:tcW w:w="0" w:type="auto"/>
                  <w:vMerge/>
                </w:tcPr>
                <w:p w14:paraId="7BFF8C4D" w14:textId="77777777" w:rsidR="00EB5D12" w:rsidRPr="007505ED" w:rsidRDefault="00EB5D12" w:rsidP="005B37AD">
                  <w:pPr>
                    <w:pStyle w:val="TAL"/>
                  </w:pPr>
                </w:p>
              </w:tc>
              <w:tc>
                <w:tcPr>
                  <w:tcW w:w="0" w:type="auto"/>
                </w:tcPr>
                <w:p w14:paraId="15B65B8A" w14:textId="77777777" w:rsidR="00EB5D12" w:rsidRPr="007505ED" w:rsidRDefault="00EB5D12" w:rsidP="005B37AD">
                  <w:pPr>
                    <w:pStyle w:val="TAL"/>
                  </w:pPr>
                  <w:r w:rsidRPr="007505ED">
                    <w:t>GNSS coarse time assistance error range</w:t>
                  </w:r>
                </w:p>
              </w:tc>
              <w:tc>
                <w:tcPr>
                  <w:tcW w:w="0" w:type="auto"/>
                </w:tcPr>
                <w:p w14:paraId="0FE27076" w14:textId="77777777" w:rsidR="00EB5D12" w:rsidRPr="007505ED" w:rsidRDefault="00EB5D12" w:rsidP="005B37AD">
                  <w:pPr>
                    <w:pStyle w:val="TAC"/>
                  </w:pPr>
                  <w:r w:rsidRPr="007505ED">
                    <w:t>seconds</w:t>
                  </w:r>
                </w:p>
              </w:tc>
              <w:tc>
                <w:tcPr>
                  <w:tcW w:w="0" w:type="auto"/>
                </w:tcPr>
                <w:p w14:paraId="7D012299" w14:textId="77777777" w:rsidR="00EB5D12" w:rsidRPr="007505ED" w:rsidRDefault="00EB5D12" w:rsidP="005B37AD">
                  <w:pPr>
                    <w:pStyle w:val="TAC"/>
                  </w:pPr>
                  <w:r w:rsidRPr="007505ED">
                    <w:sym w:font="Symbol" w:char="F0B1"/>
                  </w:r>
                  <w:r w:rsidRPr="007505ED">
                    <w:t>2</w:t>
                  </w:r>
                </w:p>
              </w:tc>
            </w:tr>
            <w:tr w:rsidR="00EB5D12" w:rsidRPr="007505ED" w14:paraId="42C50BBA" w14:textId="77777777" w:rsidTr="005B37AD">
              <w:trPr>
                <w:cantSplit/>
                <w:jc w:val="center"/>
              </w:trPr>
              <w:tc>
                <w:tcPr>
                  <w:tcW w:w="0" w:type="auto"/>
                  <w:vAlign w:val="center"/>
                </w:tcPr>
                <w:p w14:paraId="278EAE51" w14:textId="77777777" w:rsidR="00EB5D12" w:rsidRPr="007505ED" w:rsidRDefault="00EB5D12" w:rsidP="005B37AD">
                  <w:pPr>
                    <w:pStyle w:val="TAL"/>
                  </w:pPr>
                  <w:r w:rsidRPr="007505ED">
                    <w:t>GPS</w:t>
                  </w:r>
                  <w:r w:rsidRPr="007505ED">
                    <w:rPr>
                      <w:vertAlign w:val="superscript"/>
                    </w:rPr>
                    <w:t>(1)</w:t>
                  </w:r>
                </w:p>
              </w:tc>
              <w:tc>
                <w:tcPr>
                  <w:tcW w:w="0" w:type="auto"/>
                  <w:vAlign w:val="center"/>
                </w:tcPr>
                <w:p w14:paraId="27C23331" w14:textId="77777777" w:rsidR="00EB5D12" w:rsidRPr="007505ED" w:rsidRDefault="00EB5D12" w:rsidP="005B37AD">
                  <w:pPr>
                    <w:pStyle w:val="TAL"/>
                  </w:pPr>
                  <w:r w:rsidRPr="007505ED">
                    <w:t>Reference signal power level for all satellites</w:t>
                  </w:r>
                </w:p>
              </w:tc>
              <w:tc>
                <w:tcPr>
                  <w:tcW w:w="0" w:type="auto"/>
                  <w:vAlign w:val="center"/>
                </w:tcPr>
                <w:p w14:paraId="6032A981" w14:textId="77777777" w:rsidR="00EB5D12" w:rsidRPr="007505ED" w:rsidRDefault="00EB5D12" w:rsidP="005B37AD">
                  <w:pPr>
                    <w:pStyle w:val="TAC"/>
                  </w:pPr>
                  <w:r w:rsidRPr="007505ED">
                    <w:t>dBm</w:t>
                  </w:r>
                </w:p>
              </w:tc>
              <w:tc>
                <w:tcPr>
                  <w:tcW w:w="0" w:type="auto"/>
                  <w:vAlign w:val="center"/>
                </w:tcPr>
                <w:p w14:paraId="129D9760" w14:textId="77777777" w:rsidR="00EB5D12" w:rsidRPr="007505ED" w:rsidRDefault="00EB5D12" w:rsidP="005B37AD">
                  <w:pPr>
                    <w:pStyle w:val="TAC"/>
                  </w:pPr>
                  <w:r w:rsidRPr="007505ED">
                    <w:t>-128.5</w:t>
                  </w:r>
                </w:p>
              </w:tc>
            </w:tr>
            <w:tr w:rsidR="00EB5D12" w:rsidRPr="007505ED" w14:paraId="40B57C64" w14:textId="77777777" w:rsidTr="005B37AD">
              <w:trPr>
                <w:cantSplit/>
                <w:jc w:val="center"/>
              </w:trPr>
              <w:tc>
                <w:tcPr>
                  <w:tcW w:w="0" w:type="auto"/>
                  <w:vAlign w:val="center"/>
                </w:tcPr>
                <w:p w14:paraId="1C5FADD9" w14:textId="77777777" w:rsidR="00EB5D12" w:rsidRPr="007505ED" w:rsidRDefault="00EB5D12" w:rsidP="005B37AD">
                  <w:pPr>
                    <w:pStyle w:val="TAL"/>
                  </w:pPr>
                  <w:r w:rsidRPr="007505ED">
                    <w:t>Galileo</w:t>
                  </w:r>
                </w:p>
              </w:tc>
              <w:tc>
                <w:tcPr>
                  <w:tcW w:w="0" w:type="auto"/>
                  <w:vAlign w:val="center"/>
                </w:tcPr>
                <w:p w14:paraId="1D9D180E" w14:textId="77777777" w:rsidR="00EB5D12" w:rsidRPr="007505ED" w:rsidRDefault="00EB5D12" w:rsidP="005B37AD">
                  <w:pPr>
                    <w:pStyle w:val="TAL"/>
                  </w:pPr>
                  <w:r w:rsidRPr="007505ED">
                    <w:t>Reference signal power level for all satellites</w:t>
                  </w:r>
                </w:p>
              </w:tc>
              <w:tc>
                <w:tcPr>
                  <w:tcW w:w="0" w:type="auto"/>
                  <w:vAlign w:val="center"/>
                </w:tcPr>
                <w:p w14:paraId="2EB089BC" w14:textId="77777777" w:rsidR="00EB5D12" w:rsidRPr="007505ED" w:rsidRDefault="00EB5D12" w:rsidP="005B37AD">
                  <w:pPr>
                    <w:pStyle w:val="TAC"/>
                  </w:pPr>
                  <w:r w:rsidRPr="007505ED">
                    <w:t>dBm</w:t>
                  </w:r>
                </w:p>
              </w:tc>
              <w:tc>
                <w:tcPr>
                  <w:tcW w:w="0" w:type="auto"/>
                </w:tcPr>
                <w:p w14:paraId="45A0B110" w14:textId="77777777" w:rsidR="00EB5D12" w:rsidRPr="007505ED" w:rsidRDefault="00EB5D12" w:rsidP="005B37AD">
                  <w:pPr>
                    <w:pStyle w:val="TAC"/>
                  </w:pPr>
                  <w:r w:rsidRPr="007505ED">
                    <w:t>-127</w:t>
                  </w:r>
                </w:p>
              </w:tc>
            </w:tr>
            <w:tr w:rsidR="00EB5D12" w:rsidRPr="007505ED" w14:paraId="3A8D18EA" w14:textId="77777777" w:rsidTr="005B37AD">
              <w:trPr>
                <w:cantSplit/>
                <w:jc w:val="center"/>
              </w:trPr>
              <w:tc>
                <w:tcPr>
                  <w:tcW w:w="0" w:type="auto"/>
                  <w:vAlign w:val="center"/>
                </w:tcPr>
                <w:p w14:paraId="0D71F068" w14:textId="77777777" w:rsidR="00EB5D12" w:rsidRPr="007505ED" w:rsidRDefault="00EB5D12" w:rsidP="005B37AD">
                  <w:pPr>
                    <w:pStyle w:val="TAL"/>
                  </w:pPr>
                  <w:r w:rsidRPr="007505ED">
                    <w:t>GLONASS</w:t>
                  </w:r>
                </w:p>
              </w:tc>
              <w:tc>
                <w:tcPr>
                  <w:tcW w:w="0" w:type="auto"/>
                  <w:vAlign w:val="center"/>
                </w:tcPr>
                <w:p w14:paraId="672084B8" w14:textId="77777777" w:rsidR="00EB5D12" w:rsidRPr="007505ED" w:rsidRDefault="00EB5D12" w:rsidP="005B37AD">
                  <w:pPr>
                    <w:pStyle w:val="TAL"/>
                  </w:pPr>
                  <w:r w:rsidRPr="007505ED">
                    <w:t>Reference signal power level for all satellites</w:t>
                  </w:r>
                </w:p>
              </w:tc>
              <w:tc>
                <w:tcPr>
                  <w:tcW w:w="0" w:type="auto"/>
                  <w:vAlign w:val="center"/>
                </w:tcPr>
                <w:p w14:paraId="659076DC" w14:textId="77777777" w:rsidR="00EB5D12" w:rsidRPr="007505ED" w:rsidRDefault="00EB5D12" w:rsidP="005B37AD">
                  <w:pPr>
                    <w:pStyle w:val="TAC"/>
                  </w:pPr>
                  <w:r w:rsidRPr="007505ED">
                    <w:t>dBm</w:t>
                  </w:r>
                </w:p>
              </w:tc>
              <w:tc>
                <w:tcPr>
                  <w:tcW w:w="0" w:type="auto"/>
                </w:tcPr>
                <w:p w14:paraId="722CC4F6" w14:textId="77777777" w:rsidR="00EB5D12" w:rsidRPr="007505ED" w:rsidRDefault="00EB5D12" w:rsidP="005B37AD">
                  <w:pPr>
                    <w:pStyle w:val="TAC"/>
                  </w:pPr>
                  <w:r w:rsidRPr="007505ED">
                    <w:t>-131</w:t>
                  </w:r>
                </w:p>
              </w:tc>
            </w:tr>
            <w:tr w:rsidR="00EB5D12" w:rsidRPr="007505ED" w14:paraId="6BDEE55E" w14:textId="77777777" w:rsidTr="005B37AD">
              <w:trPr>
                <w:cantSplit/>
                <w:jc w:val="center"/>
              </w:trPr>
              <w:tc>
                <w:tcPr>
                  <w:tcW w:w="0" w:type="auto"/>
                  <w:vAlign w:val="center"/>
                </w:tcPr>
                <w:p w14:paraId="5201931C" w14:textId="77777777" w:rsidR="00EB5D12" w:rsidRPr="007505ED" w:rsidRDefault="00EB5D12" w:rsidP="005B37AD">
                  <w:pPr>
                    <w:pStyle w:val="TAL"/>
                  </w:pPr>
                  <w:r w:rsidRPr="007505ED">
                    <w:t>QZSS</w:t>
                  </w:r>
                </w:p>
              </w:tc>
              <w:tc>
                <w:tcPr>
                  <w:tcW w:w="0" w:type="auto"/>
                  <w:vAlign w:val="center"/>
                </w:tcPr>
                <w:p w14:paraId="21758BAA" w14:textId="77777777" w:rsidR="00EB5D12" w:rsidRPr="007505ED" w:rsidRDefault="00EB5D12" w:rsidP="005B37AD">
                  <w:pPr>
                    <w:pStyle w:val="TAL"/>
                  </w:pPr>
                  <w:r w:rsidRPr="007505ED">
                    <w:t>Reference signal power level for all satellites</w:t>
                  </w:r>
                </w:p>
              </w:tc>
              <w:tc>
                <w:tcPr>
                  <w:tcW w:w="0" w:type="auto"/>
                  <w:vAlign w:val="center"/>
                </w:tcPr>
                <w:p w14:paraId="357BC137" w14:textId="77777777" w:rsidR="00EB5D12" w:rsidRPr="007505ED" w:rsidRDefault="00EB5D12" w:rsidP="005B37AD">
                  <w:pPr>
                    <w:pStyle w:val="TAC"/>
                  </w:pPr>
                  <w:r w:rsidRPr="007505ED">
                    <w:t>dBm</w:t>
                  </w:r>
                </w:p>
              </w:tc>
              <w:tc>
                <w:tcPr>
                  <w:tcW w:w="0" w:type="auto"/>
                </w:tcPr>
                <w:p w14:paraId="67B02741" w14:textId="77777777" w:rsidR="00EB5D12" w:rsidRPr="007505ED" w:rsidRDefault="00EB5D12" w:rsidP="005B37AD">
                  <w:pPr>
                    <w:pStyle w:val="TAC"/>
                  </w:pPr>
                  <w:r w:rsidRPr="007505ED">
                    <w:t>-128.5</w:t>
                  </w:r>
                </w:p>
              </w:tc>
            </w:tr>
            <w:tr w:rsidR="00EB5D12" w:rsidRPr="007505ED" w14:paraId="3A60F4CC" w14:textId="77777777" w:rsidTr="005B37AD">
              <w:trPr>
                <w:cantSplit/>
                <w:jc w:val="center"/>
              </w:trPr>
              <w:tc>
                <w:tcPr>
                  <w:tcW w:w="0" w:type="auto"/>
                  <w:vAlign w:val="center"/>
                </w:tcPr>
                <w:p w14:paraId="6112318B" w14:textId="77777777" w:rsidR="00EB5D12" w:rsidRPr="007505ED" w:rsidRDefault="00EB5D12" w:rsidP="005B37AD">
                  <w:pPr>
                    <w:pStyle w:val="TAL"/>
                  </w:pPr>
                  <w:r w:rsidRPr="007505ED">
                    <w:t>SBAS</w:t>
                  </w:r>
                </w:p>
              </w:tc>
              <w:tc>
                <w:tcPr>
                  <w:tcW w:w="0" w:type="auto"/>
                  <w:vAlign w:val="center"/>
                </w:tcPr>
                <w:p w14:paraId="12039F01" w14:textId="77777777" w:rsidR="00EB5D12" w:rsidRPr="007505ED" w:rsidRDefault="00EB5D12" w:rsidP="005B37AD">
                  <w:pPr>
                    <w:pStyle w:val="TAL"/>
                  </w:pPr>
                  <w:r w:rsidRPr="007505ED">
                    <w:t>Reference signal power level for all satellites</w:t>
                  </w:r>
                </w:p>
              </w:tc>
              <w:tc>
                <w:tcPr>
                  <w:tcW w:w="0" w:type="auto"/>
                  <w:vAlign w:val="center"/>
                </w:tcPr>
                <w:p w14:paraId="2FF7A65B" w14:textId="77777777" w:rsidR="00EB5D12" w:rsidRPr="007505ED" w:rsidRDefault="00EB5D12" w:rsidP="005B37AD">
                  <w:pPr>
                    <w:pStyle w:val="TAC"/>
                  </w:pPr>
                  <w:r w:rsidRPr="007505ED">
                    <w:t>dBm</w:t>
                  </w:r>
                </w:p>
              </w:tc>
              <w:tc>
                <w:tcPr>
                  <w:tcW w:w="0" w:type="auto"/>
                </w:tcPr>
                <w:p w14:paraId="4AB5C55A" w14:textId="77777777" w:rsidR="00EB5D12" w:rsidRPr="007505ED" w:rsidRDefault="00EB5D12" w:rsidP="005B37AD">
                  <w:pPr>
                    <w:pStyle w:val="TAC"/>
                  </w:pPr>
                  <w:r w:rsidRPr="007505ED">
                    <w:t>-131</w:t>
                  </w:r>
                </w:p>
              </w:tc>
            </w:tr>
            <w:tr w:rsidR="00EB5D12" w:rsidRPr="007505ED" w14:paraId="49ED2D47" w14:textId="77777777" w:rsidTr="005B37AD">
              <w:trPr>
                <w:cantSplit/>
                <w:jc w:val="center"/>
              </w:trPr>
              <w:tc>
                <w:tcPr>
                  <w:tcW w:w="0" w:type="auto"/>
                  <w:vAlign w:val="center"/>
                </w:tcPr>
                <w:p w14:paraId="349C0D8D" w14:textId="77777777" w:rsidR="00EB5D12" w:rsidRPr="007505ED" w:rsidRDefault="00EB5D12" w:rsidP="005B37AD">
                  <w:pPr>
                    <w:pStyle w:val="TAL"/>
                  </w:pPr>
                  <w:r w:rsidRPr="007505ED">
                    <w:t>BDS</w:t>
                  </w:r>
                </w:p>
              </w:tc>
              <w:tc>
                <w:tcPr>
                  <w:tcW w:w="0" w:type="auto"/>
                  <w:vAlign w:val="center"/>
                </w:tcPr>
                <w:p w14:paraId="61C0B316" w14:textId="77777777" w:rsidR="00EB5D12" w:rsidRPr="007505ED" w:rsidRDefault="00EB5D12" w:rsidP="005B37AD">
                  <w:pPr>
                    <w:pStyle w:val="TAL"/>
                  </w:pPr>
                  <w:r w:rsidRPr="007505ED">
                    <w:t xml:space="preserve">Reference signal power level for </w:t>
                  </w:r>
                  <w:r w:rsidRPr="007505ED">
                    <w:rPr>
                      <w:rFonts w:hint="eastAsia"/>
                      <w:lang w:eastAsia="zh-CN"/>
                    </w:rPr>
                    <w:t>all</w:t>
                  </w:r>
                  <w:r w:rsidRPr="007505ED">
                    <w:t xml:space="preserve"> satellites</w:t>
                  </w:r>
                </w:p>
              </w:tc>
              <w:tc>
                <w:tcPr>
                  <w:tcW w:w="0" w:type="auto"/>
                  <w:vAlign w:val="center"/>
                </w:tcPr>
                <w:p w14:paraId="38A33D2B" w14:textId="77777777" w:rsidR="00EB5D12" w:rsidRPr="007505ED" w:rsidRDefault="00EB5D12" w:rsidP="005B37AD">
                  <w:pPr>
                    <w:pStyle w:val="TAC"/>
                  </w:pPr>
                  <w:r w:rsidRPr="007505ED">
                    <w:t>dBm</w:t>
                  </w:r>
                </w:p>
              </w:tc>
              <w:tc>
                <w:tcPr>
                  <w:tcW w:w="0" w:type="auto"/>
                </w:tcPr>
                <w:p w14:paraId="696E5CDB" w14:textId="77777777" w:rsidR="00EB5D12" w:rsidRPr="007505ED" w:rsidRDefault="00EB5D12" w:rsidP="005B37AD">
                  <w:pPr>
                    <w:pStyle w:val="TAC"/>
                  </w:pPr>
                  <w:r w:rsidRPr="007505ED">
                    <w:rPr>
                      <w:rFonts w:hint="eastAsia"/>
                      <w:lang w:eastAsia="zh-CN"/>
                    </w:rPr>
                    <w:t>-133</w:t>
                  </w:r>
                </w:p>
              </w:tc>
            </w:tr>
            <w:tr w:rsidR="00EB5D12" w:rsidRPr="007505ED" w14:paraId="5633DBCD" w14:textId="77777777" w:rsidTr="005B37AD">
              <w:trPr>
                <w:cantSplit/>
                <w:jc w:val="center"/>
              </w:trPr>
              <w:tc>
                <w:tcPr>
                  <w:tcW w:w="0" w:type="auto"/>
                  <w:gridSpan w:val="4"/>
                </w:tcPr>
                <w:p w14:paraId="2AEECFF7" w14:textId="77777777" w:rsidR="00EB5D12" w:rsidRPr="007505ED" w:rsidRDefault="00EB5D12" w:rsidP="005B37AD">
                  <w:pPr>
                    <w:pStyle w:val="TAN"/>
                  </w:pPr>
                  <w:r w:rsidRPr="007505ED">
                    <w:lastRenderedPageBreak/>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p w14:paraId="26AD0209" w14:textId="77777777" w:rsidR="00EB5D12" w:rsidRPr="007505ED" w:rsidRDefault="00EB5D12" w:rsidP="005B37AD">
                  <w:pPr>
                    <w:pStyle w:val="TAN"/>
                  </w:pPr>
                  <w:r w:rsidRPr="007505ED">
                    <w:t>NOTE 2:</w:t>
                  </w:r>
                  <w:r w:rsidRPr="007505ED">
                    <w:tab/>
                    <w:t>7 satellites apply only for SBAS case.</w:t>
                  </w:r>
                </w:p>
              </w:tc>
            </w:tr>
          </w:tbl>
          <w:p w14:paraId="1E841AB8" w14:textId="77777777" w:rsidR="00EB5D12" w:rsidRDefault="00EB5D12" w:rsidP="005B37AD"/>
          <w:p w14:paraId="4D01D71D" w14:textId="77777777" w:rsidR="00EB5D12" w:rsidRPr="007505ED" w:rsidRDefault="00EB5D12" w:rsidP="005B37AD">
            <w:r w:rsidRPr="007505ED">
              <w:t>If QZSS is supported, one of the GPS satellites will be replaced by a QZSS satellite with respective signal support. If SBAS is supported, the SBAS satellite with the highest elevation will be added to the scenario.</w:t>
            </w:r>
          </w:p>
          <w:p w14:paraId="5AA65E4F" w14:textId="77777777" w:rsidR="00EB5D12" w:rsidRPr="007505ED" w:rsidRDefault="00EB5D12" w:rsidP="005B37AD">
            <w:pPr>
              <w:pStyle w:val="TH"/>
            </w:pPr>
            <w:r w:rsidRPr="007505ED">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EB5D12" w:rsidRPr="007505ED" w14:paraId="375E8C4D" w14:textId="77777777" w:rsidTr="005B37AD">
              <w:trPr>
                <w:cantSplit/>
                <w:trHeight w:val="20"/>
                <w:jc w:val="center"/>
              </w:trPr>
              <w:tc>
                <w:tcPr>
                  <w:tcW w:w="2882" w:type="dxa"/>
                  <w:vMerge w:val="restart"/>
                </w:tcPr>
                <w:p w14:paraId="3B7CD052" w14:textId="77777777" w:rsidR="00EB5D12" w:rsidRPr="007505ED" w:rsidRDefault="00EB5D12" w:rsidP="005B37AD">
                  <w:pPr>
                    <w:pStyle w:val="TAH"/>
                  </w:pPr>
                </w:p>
              </w:tc>
              <w:tc>
                <w:tcPr>
                  <w:tcW w:w="4770" w:type="dxa"/>
                  <w:gridSpan w:val="4"/>
                </w:tcPr>
                <w:p w14:paraId="3E50A88A" w14:textId="77777777" w:rsidR="00EB5D12" w:rsidRPr="007505ED" w:rsidRDefault="00EB5D12" w:rsidP="005B37AD">
                  <w:pPr>
                    <w:pStyle w:val="TAH"/>
                  </w:pPr>
                  <w:r w:rsidRPr="007505ED">
                    <w:t>Satellite allocation for each constellation</w:t>
                  </w:r>
                </w:p>
              </w:tc>
            </w:tr>
            <w:tr w:rsidR="00EB5D12" w:rsidRPr="007505ED" w14:paraId="126DAE75" w14:textId="77777777" w:rsidTr="005B37AD">
              <w:trPr>
                <w:cantSplit/>
                <w:trHeight w:val="20"/>
                <w:jc w:val="center"/>
              </w:trPr>
              <w:tc>
                <w:tcPr>
                  <w:tcW w:w="2882" w:type="dxa"/>
                  <w:vMerge/>
                </w:tcPr>
                <w:p w14:paraId="41393B77" w14:textId="77777777" w:rsidR="00EB5D12" w:rsidRPr="007505ED" w:rsidRDefault="00EB5D12" w:rsidP="005B37AD">
                  <w:pPr>
                    <w:pStyle w:val="TAH"/>
                  </w:pPr>
                </w:p>
              </w:tc>
              <w:tc>
                <w:tcPr>
                  <w:tcW w:w="1260" w:type="dxa"/>
                </w:tcPr>
                <w:p w14:paraId="4BAB27BC" w14:textId="77777777" w:rsidR="00EB5D12" w:rsidRPr="007505ED" w:rsidRDefault="00EB5D12" w:rsidP="005B37AD">
                  <w:pPr>
                    <w:pStyle w:val="TAH"/>
                  </w:pPr>
                  <w:r w:rsidRPr="007505ED">
                    <w:t>GNSS 1</w:t>
                  </w:r>
                  <w:r w:rsidRPr="007505ED">
                    <w:rPr>
                      <w:vertAlign w:val="superscript"/>
                    </w:rPr>
                    <w:t>(1)</w:t>
                  </w:r>
                </w:p>
              </w:tc>
              <w:tc>
                <w:tcPr>
                  <w:tcW w:w="1170" w:type="dxa"/>
                </w:tcPr>
                <w:p w14:paraId="00203988" w14:textId="77777777" w:rsidR="00EB5D12" w:rsidRPr="007505ED" w:rsidRDefault="00EB5D12" w:rsidP="005B37AD">
                  <w:pPr>
                    <w:pStyle w:val="TAH"/>
                  </w:pPr>
                  <w:r w:rsidRPr="007505ED">
                    <w:t>GNSS 2</w:t>
                  </w:r>
                  <w:r w:rsidRPr="007505ED">
                    <w:rPr>
                      <w:vertAlign w:val="superscript"/>
                    </w:rPr>
                    <w:t>(1)</w:t>
                  </w:r>
                </w:p>
              </w:tc>
              <w:tc>
                <w:tcPr>
                  <w:tcW w:w="1080" w:type="dxa"/>
                </w:tcPr>
                <w:p w14:paraId="6F4BCEE6" w14:textId="77777777" w:rsidR="00EB5D12" w:rsidRPr="007505ED" w:rsidRDefault="00EB5D12" w:rsidP="005B37AD">
                  <w:pPr>
                    <w:pStyle w:val="TAH"/>
                  </w:pPr>
                  <w:r w:rsidRPr="007505ED">
                    <w:t>GNSS 3</w:t>
                  </w:r>
                  <w:r w:rsidRPr="007505ED">
                    <w:rPr>
                      <w:vertAlign w:val="superscript"/>
                    </w:rPr>
                    <w:t>(1)</w:t>
                  </w:r>
                </w:p>
              </w:tc>
              <w:tc>
                <w:tcPr>
                  <w:tcW w:w="1260" w:type="dxa"/>
                </w:tcPr>
                <w:p w14:paraId="4A4D4C1C" w14:textId="77777777" w:rsidR="00EB5D12" w:rsidRPr="007505ED" w:rsidRDefault="00EB5D12" w:rsidP="005B37AD">
                  <w:pPr>
                    <w:pStyle w:val="TAH"/>
                  </w:pPr>
                  <w:r w:rsidRPr="007505ED">
                    <w:t>SBAS</w:t>
                  </w:r>
                </w:p>
              </w:tc>
            </w:tr>
            <w:tr w:rsidR="00EB5D12" w:rsidRPr="007505ED" w14:paraId="17926DD3" w14:textId="77777777" w:rsidTr="005B37AD">
              <w:trPr>
                <w:cantSplit/>
                <w:trHeight w:val="20"/>
                <w:jc w:val="center"/>
              </w:trPr>
              <w:tc>
                <w:tcPr>
                  <w:tcW w:w="2882" w:type="dxa"/>
                </w:tcPr>
                <w:p w14:paraId="14CA81A5" w14:textId="77777777" w:rsidR="00EB5D12" w:rsidRPr="007505ED" w:rsidRDefault="00EB5D12" w:rsidP="005B37AD">
                  <w:pPr>
                    <w:pStyle w:val="TAL"/>
                  </w:pPr>
                  <w:r w:rsidRPr="007505ED">
                    <w:t>Single constellation</w:t>
                  </w:r>
                </w:p>
              </w:tc>
              <w:tc>
                <w:tcPr>
                  <w:tcW w:w="1260" w:type="dxa"/>
                </w:tcPr>
                <w:p w14:paraId="37DC40D4" w14:textId="77777777" w:rsidR="00EB5D12" w:rsidRPr="007505ED" w:rsidRDefault="00EB5D12" w:rsidP="005B37AD">
                  <w:pPr>
                    <w:pStyle w:val="TAC"/>
                  </w:pPr>
                  <w:r w:rsidRPr="007505ED">
                    <w:t>6</w:t>
                  </w:r>
                </w:p>
              </w:tc>
              <w:tc>
                <w:tcPr>
                  <w:tcW w:w="1170" w:type="dxa"/>
                </w:tcPr>
                <w:p w14:paraId="17AFCD19" w14:textId="77777777" w:rsidR="00EB5D12" w:rsidRPr="007505ED" w:rsidRDefault="00EB5D12" w:rsidP="005B37AD">
                  <w:pPr>
                    <w:pStyle w:val="TAC"/>
                    <w:tabs>
                      <w:tab w:val="center" w:pos="477"/>
                    </w:tabs>
                    <w:jc w:val="left"/>
                  </w:pPr>
                  <w:r>
                    <w:tab/>
                  </w:r>
                  <w:r w:rsidRPr="007505ED">
                    <w:t>--</w:t>
                  </w:r>
                </w:p>
              </w:tc>
              <w:tc>
                <w:tcPr>
                  <w:tcW w:w="1080" w:type="dxa"/>
                </w:tcPr>
                <w:p w14:paraId="4E5C07E1" w14:textId="77777777" w:rsidR="00EB5D12" w:rsidRPr="007505ED" w:rsidRDefault="00EB5D12" w:rsidP="005B37AD">
                  <w:pPr>
                    <w:pStyle w:val="TAC"/>
                  </w:pPr>
                  <w:r w:rsidRPr="007505ED">
                    <w:t>--</w:t>
                  </w:r>
                </w:p>
              </w:tc>
              <w:tc>
                <w:tcPr>
                  <w:tcW w:w="1260" w:type="dxa"/>
                </w:tcPr>
                <w:p w14:paraId="3BA72DBD" w14:textId="77777777" w:rsidR="00EB5D12" w:rsidRPr="007505ED" w:rsidRDefault="00EB5D12" w:rsidP="005B37AD">
                  <w:pPr>
                    <w:pStyle w:val="TAC"/>
                  </w:pPr>
                  <w:r w:rsidRPr="007505ED">
                    <w:t>1</w:t>
                  </w:r>
                </w:p>
              </w:tc>
            </w:tr>
            <w:tr w:rsidR="00EB5D12" w:rsidRPr="007505ED" w14:paraId="7590A902" w14:textId="77777777" w:rsidTr="005B37AD">
              <w:trPr>
                <w:cantSplit/>
                <w:trHeight w:val="20"/>
                <w:jc w:val="center"/>
              </w:trPr>
              <w:tc>
                <w:tcPr>
                  <w:tcW w:w="2882" w:type="dxa"/>
                </w:tcPr>
                <w:p w14:paraId="678BFA09" w14:textId="77777777" w:rsidR="00EB5D12" w:rsidRPr="007505ED" w:rsidRDefault="00EB5D12" w:rsidP="005B37AD">
                  <w:pPr>
                    <w:pStyle w:val="TAL"/>
                  </w:pPr>
                  <w:r w:rsidRPr="007505ED">
                    <w:t>Dual constellation</w:t>
                  </w:r>
                </w:p>
              </w:tc>
              <w:tc>
                <w:tcPr>
                  <w:tcW w:w="1260" w:type="dxa"/>
                </w:tcPr>
                <w:p w14:paraId="000428EE" w14:textId="77777777" w:rsidR="00EB5D12" w:rsidRPr="007505ED" w:rsidRDefault="00EB5D12" w:rsidP="005B37AD">
                  <w:pPr>
                    <w:pStyle w:val="TAC"/>
                  </w:pPr>
                  <w:r w:rsidRPr="007505ED">
                    <w:t>3</w:t>
                  </w:r>
                </w:p>
              </w:tc>
              <w:tc>
                <w:tcPr>
                  <w:tcW w:w="1170" w:type="dxa"/>
                </w:tcPr>
                <w:p w14:paraId="3AA2D707" w14:textId="77777777" w:rsidR="00EB5D12" w:rsidRPr="007505ED" w:rsidRDefault="00EB5D12" w:rsidP="005B37AD">
                  <w:pPr>
                    <w:pStyle w:val="TAC"/>
                  </w:pPr>
                  <w:r w:rsidRPr="007505ED">
                    <w:t>3</w:t>
                  </w:r>
                </w:p>
              </w:tc>
              <w:tc>
                <w:tcPr>
                  <w:tcW w:w="1080" w:type="dxa"/>
                </w:tcPr>
                <w:p w14:paraId="141FF399" w14:textId="77777777" w:rsidR="00EB5D12" w:rsidRPr="007505ED" w:rsidRDefault="00EB5D12" w:rsidP="005B37AD">
                  <w:pPr>
                    <w:pStyle w:val="TAC"/>
                  </w:pPr>
                  <w:r w:rsidRPr="007505ED">
                    <w:t>--</w:t>
                  </w:r>
                </w:p>
              </w:tc>
              <w:tc>
                <w:tcPr>
                  <w:tcW w:w="1260" w:type="dxa"/>
                </w:tcPr>
                <w:p w14:paraId="28D103EF" w14:textId="77777777" w:rsidR="00EB5D12" w:rsidRPr="007505ED" w:rsidRDefault="00EB5D12" w:rsidP="005B37AD">
                  <w:pPr>
                    <w:pStyle w:val="TAC"/>
                  </w:pPr>
                  <w:r w:rsidRPr="007505ED">
                    <w:t>1</w:t>
                  </w:r>
                </w:p>
              </w:tc>
            </w:tr>
            <w:tr w:rsidR="00EB5D12" w:rsidRPr="007505ED" w14:paraId="3297F667" w14:textId="77777777" w:rsidTr="005B37AD">
              <w:trPr>
                <w:cantSplit/>
                <w:trHeight w:val="20"/>
                <w:jc w:val="center"/>
              </w:trPr>
              <w:tc>
                <w:tcPr>
                  <w:tcW w:w="2882" w:type="dxa"/>
                </w:tcPr>
                <w:p w14:paraId="49B0B2FA" w14:textId="77777777" w:rsidR="00EB5D12" w:rsidRPr="007505ED" w:rsidRDefault="00EB5D12" w:rsidP="005B37AD">
                  <w:pPr>
                    <w:pStyle w:val="TAL"/>
                  </w:pPr>
                  <w:r w:rsidRPr="007505ED">
                    <w:t>Triple constellation</w:t>
                  </w:r>
                </w:p>
              </w:tc>
              <w:tc>
                <w:tcPr>
                  <w:tcW w:w="1260" w:type="dxa"/>
                </w:tcPr>
                <w:p w14:paraId="1ACF0766" w14:textId="77777777" w:rsidR="00EB5D12" w:rsidRPr="007505ED" w:rsidRDefault="00EB5D12" w:rsidP="005B37AD">
                  <w:pPr>
                    <w:pStyle w:val="TAC"/>
                  </w:pPr>
                  <w:r w:rsidRPr="007505ED">
                    <w:t>2</w:t>
                  </w:r>
                </w:p>
              </w:tc>
              <w:tc>
                <w:tcPr>
                  <w:tcW w:w="1170" w:type="dxa"/>
                </w:tcPr>
                <w:p w14:paraId="135BA116" w14:textId="77777777" w:rsidR="00EB5D12" w:rsidRPr="007505ED" w:rsidRDefault="00EB5D12" w:rsidP="005B37AD">
                  <w:pPr>
                    <w:pStyle w:val="TAC"/>
                  </w:pPr>
                  <w:r w:rsidRPr="007505ED">
                    <w:t>2</w:t>
                  </w:r>
                </w:p>
              </w:tc>
              <w:tc>
                <w:tcPr>
                  <w:tcW w:w="1080" w:type="dxa"/>
                </w:tcPr>
                <w:p w14:paraId="3D3F71FA" w14:textId="77777777" w:rsidR="00EB5D12" w:rsidRPr="007505ED" w:rsidRDefault="00EB5D12" w:rsidP="005B37AD">
                  <w:pPr>
                    <w:pStyle w:val="TAC"/>
                  </w:pPr>
                  <w:r w:rsidRPr="007505ED">
                    <w:t>2</w:t>
                  </w:r>
                </w:p>
              </w:tc>
              <w:tc>
                <w:tcPr>
                  <w:tcW w:w="1260" w:type="dxa"/>
                </w:tcPr>
                <w:p w14:paraId="46046B5F" w14:textId="77777777" w:rsidR="00EB5D12" w:rsidRPr="007505ED" w:rsidRDefault="00EB5D12" w:rsidP="005B37AD">
                  <w:pPr>
                    <w:pStyle w:val="TAC"/>
                  </w:pPr>
                  <w:r w:rsidRPr="007505ED">
                    <w:t>1</w:t>
                  </w:r>
                </w:p>
              </w:tc>
            </w:tr>
            <w:tr w:rsidR="00EB5D12" w:rsidRPr="007505ED" w14:paraId="17476D03" w14:textId="77777777" w:rsidTr="005B37AD">
              <w:trPr>
                <w:cantSplit/>
                <w:trHeight w:val="20"/>
                <w:jc w:val="center"/>
              </w:trPr>
              <w:tc>
                <w:tcPr>
                  <w:tcW w:w="7652" w:type="dxa"/>
                  <w:gridSpan w:val="5"/>
                </w:tcPr>
                <w:p w14:paraId="0AD48D8F" w14:textId="77777777" w:rsidR="00EB5D12" w:rsidRPr="007505ED" w:rsidRDefault="00EB5D12" w:rsidP="005B37AD">
                  <w:pPr>
                    <w:pStyle w:val="TAN"/>
                  </w:pPr>
                  <w:r w:rsidRPr="007505ED">
                    <w:t>NOTE 1: GNSS refers to global systems i.e., GPS, Galileo, GLONASS and BDS.</w:t>
                  </w:r>
                </w:p>
              </w:tc>
            </w:tr>
          </w:tbl>
          <w:p w14:paraId="2A2DB933" w14:textId="77777777" w:rsidR="00EB5D12" w:rsidRPr="005C21A5" w:rsidRDefault="00EB5D12" w:rsidP="005B37AD">
            <w:pPr>
              <w:tabs>
                <w:tab w:val="left" w:pos="5816"/>
              </w:tabs>
              <w:jc w:val="both"/>
              <w:rPr>
                <w:lang w:val="en-US"/>
              </w:rPr>
            </w:pPr>
          </w:p>
        </w:tc>
      </w:tr>
    </w:tbl>
    <w:p w14:paraId="5EFBDA03" w14:textId="77777777" w:rsidR="00EB5D12" w:rsidRDefault="00EB5D12" w:rsidP="00EB5D12">
      <w:pPr>
        <w:tabs>
          <w:tab w:val="left" w:pos="5816"/>
        </w:tabs>
        <w:jc w:val="both"/>
        <w:rPr>
          <w:lang w:val="en-US"/>
        </w:rPr>
      </w:pPr>
    </w:p>
    <w:p w14:paraId="7EE7A032" w14:textId="77777777" w:rsidR="00EB5D12" w:rsidRDefault="00EB5D12" w:rsidP="00EB5D12">
      <w:pPr>
        <w:tabs>
          <w:tab w:val="left" w:pos="5816"/>
        </w:tabs>
        <w:jc w:val="both"/>
        <w:rPr>
          <w:lang w:val="en-US"/>
        </w:rPr>
      </w:pPr>
      <w:r>
        <w:rPr>
          <w:lang w:val="en-US"/>
        </w:rPr>
        <w:t xml:space="preserve">Furthermore, for these signal levels, the minimum performance of GNSS receiver is as specified in </w:t>
      </w:r>
    </w:p>
    <w:p w14:paraId="16F988B7" w14:textId="77777777" w:rsidR="00EB5D12" w:rsidRDefault="00EB5D12" w:rsidP="00EB5D12">
      <w:pPr>
        <w:pStyle w:val="Caption"/>
        <w:keepNext/>
        <w:jc w:val="center"/>
      </w:pPr>
      <w:bookmarkStart w:id="3" w:name="_Ref458788226"/>
      <w:r>
        <w:t xml:space="preserve">Table </w:t>
      </w:r>
      <w:r>
        <w:fldChar w:fldCharType="begin"/>
      </w:r>
      <w:r>
        <w:instrText xml:space="preserve"> SEQ Table \* ARABIC </w:instrText>
      </w:r>
      <w:r>
        <w:fldChar w:fldCharType="separate"/>
      </w:r>
      <w:r>
        <w:rPr>
          <w:noProof/>
        </w:rPr>
        <w:t>2</w:t>
      </w:r>
      <w:r>
        <w:fldChar w:fldCharType="end"/>
      </w:r>
      <w:bookmarkEnd w:id="3"/>
      <w:r>
        <w:t>: Minimum requirements for test parameters in Table 1 [Section 6.2, TS 36.171]</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EB5D12" w:rsidRPr="007505ED" w14:paraId="23019497" w14:textId="77777777" w:rsidTr="005B37AD">
        <w:trPr>
          <w:cantSplit/>
          <w:tblHeader/>
          <w:jc w:val="center"/>
        </w:trPr>
        <w:tc>
          <w:tcPr>
            <w:tcW w:w="1250" w:type="dxa"/>
            <w:tcBorders>
              <w:bottom w:val="single" w:sz="4" w:space="0" w:color="auto"/>
            </w:tcBorders>
          </w:tcPr>
          <w:p w14:paraId="7DFE9358" w14:textId="77777777" w:rsidR="00EB5D12" w:rsidRPr="007505ED" w:rsidRDefault="00EB5D12" w:rsidP="005B37AD">
            <w:pPr>
              <w:pStyle w:val="TAH"/>
            </w:pPr>
            <w:r w:rsidRPr="007505ED">
              <w:t>System</w:t>
            </w:r>
          </w:p>
        </w:tc>
        <w:tc>
          <w:tcPr>
            <w:tcW w:w="1686" w:type="dxa"/>
            <w:tcBorders>
              <w:bottom w:val="single" w:sz="4" w:space="0" w:color="auto"/>
            </w:tcBorders>
          </w:tcPr>
          <w:p w14:paraId="2A678005" w14:textId="77777777" w:rsidR="00EB5D12" w:rsidRPr="007505ED" w:rsidRDefault="00EB5D12" w:rsidP="005B37AD">
            <w:pPr>
              <w:pStyle w:val="TAH"/>
            </w:pPr>
            <w:r w:rsidRPr="007505ED">
              <w:t>Success rate</w:t>
            </w:r>
          </w:p>
        </w:tc>
        <w:tc>
          <w:tcPr>
            <w:tcW w:w="1984" w:type="dxa"/>
            <w:tcBorders>
              <w:bottom w:val="single" w:sz="4" w:space="0" w:color="auto"/>
            </w:tcBorders>
          </w:tcPr>
          <w:p w14:paraId="5FA70CC4" w14:textId="77777777" w:rsidR="00EB5D12" w:rsidRPr="007505ED" w:rsidRDefault="00EB5D12" w:rsidP="005B37AD">
            <w:pPr>
              <w:pStyle w:val="TAH"/>
            </w:pPr>
            <w:r w:rsidRPr="007505ED">
              <w:t>2-D position error</w:t>
            </w:r>
          </w:p>
        </w:tc>
        <w:tc>
          <w:tcPr>
            <w:tcW w:w="2552" w:type="dxa"/>
            <w:tcBorders>
              <w:bottom w:val="single" w:sz="4" w:space="0" w:color="auto"/>
            </w:tcBorders>
          </w:tcPr>
          <w:p w14:paraId="26A1A9F3" w14:textId="77777777" w:rsidR="00EB5D12" w:rsidRPr="007505ED" w:rsidRDefault="00EB5D12" w:rsidP="005B37AD">
            <w:pPr>
              <w:pStyle w:val="TAH"/>
            </w:pPr>
            <w:r w:rsidRPr="007505ED">
              <w:t>Max response time</w:t>
            </w:r>
          </w:p>
        </w:tc>
      </w:tr>
      <w:tr w:rsidR="00EB5D12" w:rsidRPr="007505ED" w14:paraId="1107F16B" w14:textId="77777777" w:rsidTr="005B37AD">
        <w:trPr>
          <w:cantSplit/>
          <w:jc w:val="center"/>
        </w:trPr>
        <w:tc>
          <w:tcPr>
            <w:tcW w:w="1250" w:type="dxa"/>
          </w:tcPr>
          <w:p w14:paraId="0EAE1902" w14:textId="77777777" w:rsidR="00EB5D12" w:rsidRPr="007505ED" w:rsidRDefault="00EB5D12" w:rsidP="005B37AD">
            <w:pPr>
              <w:pStyle w:val="TAC"/>
            </w:pPr>
            <w:r w:rsidRPr="007505ED">
              <w:t>All</w:t>
            </w:r>
          </w:p>
        </w:tc>
        <w:tc>
          <w:tcPr>
            <w:tcW w:w="1686" w:type="dxa"/>
          </w:tcPr>
          <w:p w14:paraId="48022563" w14:textId="77777777" w:rsidR="00EB5D12" w:rsidRPr="007505ED" w:rsidRDefault="00EB5D12" w:rsidP="005B37AD">
            <w:pPr>
              <w:pStyle w:val="TAC"/>
            </w:pPr>
            <w:r w:rsidRPr="007505ED">
              <w:t>95 %</w:t>
            </w:r>
          </w:p>
        </w:tc>
        <w:tc>
          <w:tcPr>
            <w:tcW w:w="1984" w:type="dxa"/>
          </w:tcPr>
          <w:p w14:paraId="156121A2" w14:textId="77777777" w:rsidR="00EB5D12" w:rsidRPr="007505ED" w:rsidRDefault="00EB5D12" w:rsidP="005B37AD">
            <w:pPr>
              <w:pStyle w:val="TAC"/>
            </w:pPr>
            <w:r w:rsidRPr="007505ED">
              <w:t>100 m</w:t>
            </w:r>
          </w:p>
        </w:tc>
        <w:tc>
          <w:tcPr>
            <w:tcW w:w="2552" w:type="dxa"/>
          </w:tcPr>
          <w:p w14:paraId="4A53EF16" w14:textId="77777777" w:rsidR="00EB5D12" w:rsidRPr="007505ED" w:rsidRDefault="00EB5D12" w:rsidP="005B37AD">
            <w:pPr>
              <w:pStyle w:val="TAC"/>
            </w:pPr>
            <w:r w:rsidRPr="007505ED">
              <w:t>20 s</w:t>
            </w:r>
          </w:p>
        </w:tc>
      </w:tr>
    </w:tbl>
    <w:p w14:paraId="09CA86AF" w14:textId="77777777" w:rsidR="00AB1C78" w:rsidRDefault="00AB1C78" w:rsidP="00EB5D12">
      <w:pPr>
        <w:tabs>
          <w:tab w:val="left" w:pos="5816"/>
        </w:tabs>
        <w:jc w:val="both"/>
        <w:rPr>
          <w:lang w:val="en-US"/>
        </w:rPr>
      </w:pPr>
    </w:p>
    <w:p w14:paraId="78C541DA" w14:textId="06A886D2" w:rsidR="00EB5D12" w:rsidRDefault="00AB1C78" w:rsidP="00EB5D12">
      <w:pPr>
        <w:tabs>
          <w:tab w:val="left" w:pos="5816"/>
        </w:tabs>
        <w:jc w:val="both"/>
        <w:rPr>
          <w:lang w:val="en-US"/>
        </w:rPr>
      </w:pPr>
      <w:r>
        <w:rPr>
          <w:lang w:val="en-US"/>
        </w:rPr>
        <w:t xml:space="preserve">In table 2, the value 20s of Max response time is the maximum </w:t>
      </w:r>
      <w:r w:rsidR="00AB1DCF">
        <w:rPr>
          <w:lang w:val="en-US"/>
        </w:rPr>
        <w:t xml:space="preserve">delay for a UE </w:t>
      </w:r>
      <w:r>
        <w:rPr>
          <w:lang w:val="en-US"/>
        </w:rPr>
        <w:t>to get the first fix</w:t>
      </w:r>
      <w:r w:rsidR="00AB1DCF">
        <w:rPr>
          <w:lang w:val="en-US"/>
        </w:rPr>
        <w:t xml:space="preserve"> when it has assistance positioning information. Without this information, the delay can be longer than 20s. G</w:t>
      </w:r>
      <w:r>
        <w:rPr>
          <w:lang w:val="en-US"/>
        </w:rPr>
        <w:t>iven that</w:t>
      </w:r>
      <w:r w:rsidR="00AB1DCF">
        <w:rPr>
          <w:lang w:val="en-US"/>
        </w:rPr>
        <w:t xml:space="preserve"> there is no core RRM requirement regarding using GNSS as a requirement in V2V, this delay has no specification impact.</w:t>
      </w:r>
    </w:p>
    <w:p w14:paraId="32C77BD6" w14:textId="50E6D863" w:rsidR="00EB5D12" w:rsidRPr="00554DE2" w:rsidRDefault="00523E1A" w:rsidP="00EB5D12">
      <w:pPr>
        <w:tabs>
          <w:tab w:val="left" w:pos="5816"/>
        </w:tabs>
        <w:jc w:val="both"/>
        <w:rPr>
          <w:i/>
          <w:lang w:val="en-US"/>
        </w:rPr>
      </w:pPr>
      <w:r w:rsidRPr="00554DE2">
        <w:rPr>
          <w:b/>
          <w:i/>
          <w:u w:val="single"/>
          <w:lang w:val="en-US"/>
        </w:rPr>
        <w:t>Observation 2</w:t>
      </w:r>
      <w:r w:rsidR="00EB5D12" w:rsidRPr="00554DE2">
        <w:rPr>
          <w:i/>
          <w:lang w:val="en-US"/>
        </w:rPr>
        <w:t xml:space="preserve">: For V2V RRM, </w:t>
      </w:r>
      <w:r w:rsidR="00AB1DCF" w:rsidRPr="00554DE2">
        <w:rPr>
          <w:i/>
          <w:lang w:val="en-US"/>
        </w:rPr>
        <w:t xml:space="preserve">there is no delay requirement yet. So the delay to get first fix </w:t>
      </w:r>
      <w:r w:rsidRPr="00554DE2">
        <w:rPr>
          <w:i/>
          <w:lang w:val="en-US"/>
        </w:rPr>
        <w:t>does not needed to be specified</w:t>
      </w:r>
      <w:r w:rsidR="00EB5D12" w:rsidRPr="00554DE2">
        <w:rPr>
          <w:i/>
          <w:lang w:val="en-US"/>
        </w:rPr>
        <w:t>.</w:t>
      </w:r>
    </w:p>
    <w:p w14:paraId="29E69DCE" w14:textId="40DAF45D" w:rsidR="00EB5D12" w:rsidRPr="00554DE2" w:rsidRDefault="00EB5D12" w:rsidP="00EB5D12">
      <w:pPr>
        <w:tabs>
          <w:tab w:val="left" w:pos="5816"/>
        </w:tabs>
        <w:jc w:val="both"/>
        <w:rPr>
          <w:b/>
          <w:lang w:val="en-US"/>
        </w:rPr>
      </w:pPr>
      <w:r w:rsidRPr="00554DE2">
        <w:rPr>
          <w:b/>
          <w:u w:val="single"/>
          <w:lang w:val="en-US"/>
        </w:rPr>
        <w:t xml:space="preserve">Proposal </w:t>
      </w:r>
      <w:r w:rsidR="00554DE2">
        <w:rPr>
          <w:b/>
          <w:u w:val="single"/>
          <w:lang w:val="en-US"/>
        </w:rPr>
        <w:t>2</w:t>
      </w:r>
      <w:r w:rsidRPr="00554DE2">
        <w:rPr>
          <w:b/>
          <w:lang w:val="en-US"/>
        </w:rPr>
        <w:t xml:space="preserve">: Adopt the minimum signal quality requirements from Section 6.2 of TS 36.171 for V2V RRM requirements related to GNSS as a synchronization source (as summarized in </w:t>
      </w:r>
      <w:r w:rsidRPr="00554DE2">
        <w:rPr>
          <w:b/>
          <w:lang w:val="en-US"/>
        </w:rPr>
        <w:fldChar w:fldCharType="begin"/>
      </w:r>
      <w:r w:rsidRPr="00554DE2">
        <w:rPr>
          <w:b/>
          <w:lang w:val="en-US"/>
        </w:rPr>
        <w:instrText xml:space="preserve"> REF _Ref458786709 \h </w:instrText>
      </w:r>
      <w:r w:rsidRPr="00554DE2">
        <w:rPr>
          <w:b/>
          <w:lang w:val="en-US"/>
        </w:rPr>
      </w:r>
      <w:r w:rsidR="00554DE2" w:rsidRPr="00554DE2">
        <w:rPr>
          <w:b/>
          <w:lang w:val="en-US"/>
        </w:rPr>
        <w:instrText xml:space="preserve"> \* MERGEFORMAT </w:instrText>
      </w:r>
      <w:r w:rsidRPr="00554DE2">
        <w:rPr>
          <w:b/>
          <w:lang w:val="en-US"/>
        </w:rPr>
        <w:fldChar w:fldCharType="separate"/>
      </w:r>
      <w:r w:rsidRPr="00554DE2">
        <w:rPr>
          <w:b/>
        </w:rPr>
        <w:t xml:space="preserve">Table </w:t>
      </w:r>
      <w:r w:rsidRPr="00554DE2">
        <w:rPr>
          <w:b/>
          <w:noProof/>
        </w:rPr>
        <w:t>1</w:t>
      </w:r>
      <w:r w:rsidRPr="00554DE2">
        <w:rPr>
          <w:b/>
          <w:lang w:val="en-US"/>
        </w:rPr>
        <w:fldChar w:fldCharType="end"/>
      </w:r>
      <w:r w:rsidRPr="00554DE2">
        <w:rPr>
          <w:b/>
          <w:lang w:val="en-US"/>
        </w:rPr>
        <w:t xml:space="preserve"> and </w:t>
      </w:r>
      <w:r w:rsidRPr="00554DE2">
        <w:rPr>
          <w:b/>
          <w:lang w:val="en-US"/>
        </w:rPr>
        <w:fldChar w:fldCharType="begin"/>
      </w:r>
      <w:r w:rsidRPr="00554DE2">
        <w:rPr>
          <w:b/>
          <w:lang w:val="en-US"/>
        </w:rPr>
        <w:instrText xml:space="preserve"> REF _Ref458788226 \h </w:instrText>
      </w:r>
      <w:r w:rsidRPr="00554DE2">
        <w:rPr>
          <w:b/>
          <w:lang w:val="en-US"/>
        </w:rPr>
      </w:r>
      <w:r w:rsidR="00554DE2" w:rsidRPr="00554DE2">
        <w:rPr>
          <w:b/>
          <w:lang w:val="en-US"/>
        </w:rPr>
        <w:instrText xml:space="preserve"> \* MERGEFORMAT </w:instrText>
      </w:r>
      <w:r w:rsidRPr="00554DE2">
        <w:rPr>
          <w:b/>
          <w:lang w:val="en-US"/>
        </w:rPr>
        <w:fldChar w:fldCharType="separate"/>
      </w:r>
      <w:r w:rsidRPr="00554DE2">
        <w:rPr>
          <w:b/>
        </w:rPr>
        <w:t xml:space="preserve">Table </w:t>
      </w:r>
      <w:r w:rsidRPr="00554DE2">
        <w:rPr>
          <w:b/>
          <w:noProof/>
        </w:rPr>
        <w:t>2</w:t>
      </w:r>
      <w:r w:rsidRPr="00554DE2">
        <w:rPr>
          <w:b/>
          <w:lang w:val="en-US"/>
        </w:rPr>
        <w:fldChar w:fldCharType="end"/>
      </w:r>
      <w:r w:rsidRPr="00554DE2">
        <w:rPr>
          <w:b/>
          <w:lang w:val="en-US"/>
        </w:rPr>
        <w:t>).</w:t>
      </w:r>
    </w:p>
    <w:p w14:paraId="0F40B23E" w14:textId="2ADD71AC" w:rsidR="00EB5D12" w:rsidRPr="00554DE2" w:rsidRDefault="00EB5D12" w:rsidP="00EB5D12">
      <w:pPr>
        <w:tabs>
          <w:tab w:val="left" w:pos="5816"/>
        </w:tabs>
        <w:jc w:val="both"/>
        <w:rPr>
          <w:b/>
          <w:lang w:val="en-US"/>
        </w:rPr>
      </w:pPr>
      <w:r w:rsidRPr="00554DE2">
        <w:rPr>
          <w:b/>
          <w:u w:val="single"/>
          <w:lang w:val="en-US"/>
        </w:rPr>
        <w:lastRenderedPageBreak/>
        <w:t xml:space="preserve">Proposal </w:t>
      </w:r>
      <w:r w:rsidR="00554DE2">
        <w:rPr>
          <w:b/>
          <w:u w:val="single"/>
          <w:lang w:val="en-US"/>
        </w:rPr>
        <w:t>3</w:t>
      </w:r>
      <w:r w:rsidRPr="00554DE2">
        <w:rPr>
          <w:b/>
          <w:lang w:val="en-US"/>
        </w:rPr>
        <w:t xml:space="preserve">: The requirements on the minimum accuracy of GNSS as specified in Section 6.2.1 of TS 36.171 should be taken into account while defining any requirements with GNSS as the synchronization source. </w:t>
      </w:r>
    </w:p>
    <w:p w14:paraId="4002B629" w14:textId="77777777" w:rsidR="00EB5D12" w:rsidRDefault="00EB5D12" w:rsidP="00EB5D12">
      <w:pPr>
        <w:tabs>
          <w:tab w:val="left" w:pos="5816"/>
        </w:tabs>
        <w:jc w:val="both"/>
        <w:rPr>
          <w:lang w:val="en-US"/>
        </w:rPr>
      </w:pPr>
    </w:p>
    <w:p w14:paraId="70FFCBB2" w14:textId="77777777" w:rsidR="00EB5D12" w:rsidRDefault="00EB5D12" w:rsidP="00EB5D12">
      <w:pPr>
        <w:pStyle w:val="Heading1"/>
        <w:jc w:val="both"/>
        <w:rPr>
          <w:lang w:val="en-US"/>
        </w:rPr>
      </w:pPr>
      <w:r>
        <w:rPr>
          <w:lang w:val="en-US"/>
        </w:rPr>
        <w:t>Conclusions</w:t>
      </w:r>
    </w:p>
    <w:p w14:paraId="20367276" w14:textId="77777777" w:rsidR="00EB5D12" w:rsidRDefault="00EB5D12" w:rsidP="00EB5D12">
      <w:pPr>
        <w:jc w:val="both"/>
        <w:rPr>
          <w:lang w:val="en-US"/>
        </w:rPr>
      </w:pPr>
      <w:r>
        <w:rPr>
          <w:lang w:val="en-US"/>
        </w:rPr>
        <w:t>In this paper, we presented some discussion on some specific RRM requirements for V2V.</w:t>
      </w:r>
    </w:p>
    <w:p w14:paraId="63D1EA03" w14:textId="77777777" w:rsidR="00EB5D12" w:rsidRDefault="00EB5D12" w:rsidP="00EB5D12">
      <w:pPr>
        <w:jc w:val="both"/>
        <w:rPr>
          <w:i/>
          <w:lang w:val="en-US"/>
        </w:rPr>
      </w:pPr>
      <w:r w:rsidRPr="00334A8C">
        <w:rPr>
          <w:i/>
          <w:lang w:val="en-US"/>
        </w:rPr>
        <w:t>(GNSS related requirements)</w:t>
      </w:r>
    </w:p>
    <w:p w14:paraId="75ABA0BA" w14:textId="77777777" w:rsidR="00554DE2" w:rsidRPr="008E51D1" w:rsidRDefault="00554DE2" w:rsidP="00554DE2">
      <w:pPr>
        <w:rPr>
          <w:i/>
          <w:lang w:val="en-US"/>
        </w:rPr>
      </w:pPr>
      <w:r w:rsidRPr="008E51D1">
        <w:rPr>
          <w:b/>
          <w:i/>
          <w:u w:val="single"/>
          <w:lang w:val="en-US"/>
        </w:rPr>
        <w:t>Observation 1:</w:t>
      </w:r>
      <w:r w:rsidRPr="008E51D1">
        <w:rPr>
          <w:i/>
          <w:lang w:val="en-US"/>
        </w:rPr>
        <w:t xml:space="preserve"> V2V communication has to support high speed, which is prone to extra time/frequency offset error. So it is important to ensure that the time/frequency accuracy requirements are always met.</w:t>
      </w:r>
    </w:p>
    <w:p w14:paraId="54420205" w14:textId="77777777" w:rsidR="00554DE2" w:rsidRDefault="00554DE2" w:rsidP="00554DE2">
      <w:pPr>
        <w:rPr>
          <w:lang w:val="en-US"/>
        </w:rPr>
      </w:pPr>
      <w:r w:rsidRPr="008E51D1">
        <w:rPr>
          <w:b/>
          <w:u w:val="single"/>
          <w:lang w:val="en-US"/>
        </w:rPr>
        <w:t>Proposal 1:</w:t>
      </w:r>
      <w:r>
        <w:rPr>
          <w:lang w:val="en-US"/>
        </w:rPr>
        <w:t xml:space="preserve"> </w:t>
      </w:r>
      <w:r w:rsidRPr="008E51D1">
        <w:rPr>
          <w:b/>
          <w:lang w:val="en-US"/>
        </w:rPr>
        <w:t>RAN4 adopt option 2, GNSS synchronization source is considered to have sufficient reliability in case GNSS meets the minimum signal level requirement.</w:t>
      </w:r>
    </w:p>
    <w:p w14:paraId="3864DB37" w14:textId="77777777" w:rsidR="00554DE2" w:rsidRPr="008E51D1" w:rsidRDefault="00554DE2" w:rsidP="00554DE2">
      <w:pPr>
        <w:tabs>
          <w:tab w:val="left" w:pos="5816"/>
        </w:tabs>
        <w:jc w:val="both"/>
        <w:rPr>
          <w:i/>
          <w:lang w:val="en-US"/>
        </w:rPr>
      </w:pPr>
      <w:r w:rsidRPr="008E51D1">
        <w:rPr>
          <w:b/>
          <w:i/>
          <w:u w:val="single"/>
          <w:lang w:val="en-US"/>
        </w:rPr>
        <w:t>Observation 2</w:t>
      </w:r>
      <w:r w:rsidRPr="008E51D1">
        <w:rPr>
          <w:i/>
          <w:lang w:val="en-US"/>
        </w:rPr>
        <w:t>: For V2V RRM, there is no delay requirement yet. So the delay to get first fix does not needed to be specified.</w:t>
      </w:r>
    </w:p>
    <w:p w14:paraId="103AA77F" w14:textId="77777777" w:rsidR="00554DE2" w:rsidRPr="008E51D1" w:rsidRDefault="00554DE2" w:rsidP="00554DE2">
      <w:pPr>
        <w:tabs>
          <w:tab w:val="left" w:pos="5816"/>
        </w:tabs>
        <w:jc w:val="both"/>
        <w:rPr>
          <w:b/>
          <w:lang w:val="en-US"/>
        </w:rPr>
      </w:pPr>
      <w:r w:rsidRPr="008E51D1">
        <w:rPr>
          <w:b/>
          <w:u w:val="single"/>
          <w:lang w:val="en-US"/>
        </w:rPr>
        <w:t xml:space="preserve">Proposal </w:t>
      </w:r>
      <w:r>
        <w:rPr>
          <w:b/>
          <w:u w:val="single"/>
          <w:lang w:val="en-US"/>
        </w:rPr>
        <w:t>2</w:t>
      </w:r>
      <w:r w:rsidRPr="00554DE2">
        <w:rPr>
          <w:b/>
          <w:lang w:val="en-US"/>
        </w:rPr>
        <w:t>:</w:t>
      </w:r>
      <w:r w:rsidRPr="008E51D1">
        <w:rPr>
          <w:b/>
          <w:lang w:val="en-US"/>
        </w:rPr>
        <w:t xml:space="preserve"> Adopt the minimum signal quality requirements from Section 6.2 of TS 36.171 for V2V RRM requirements related to GNSS as a synchronization source (as summarized in </w:t>
      </w:r>
      <w:r w:rsidRPr="008E51D1">
        <w:rPr>
          <w:b/>
          <w:lang w:val="en-US"/>
        </w:rPr>
        <w:fldChar w:fldCharType="begin"/>
      </w:r>
      <w:r w:rsidRPr="008E51D1">
        <w:rPr>
          <w:b/>
          <w:lang w:val="en-US"/>
        </w:rPr>
        <w:instrText xml:space="preserve"> REF _Ref458786709 \h </w:instrText>
      </w:r>
      <w:r w:rsidRPr="008E51D1">
        <w:rPr>
          <w:b/>
          <w:lang w:val="en-US"/>
        </w:rPr>
      </w:r>
      <w:r w:rsidRPr="008E51D1">
        <w:rPr>
          <w:b/>
          <w:lang w:val="en-US"/>
        </w:rPr>
        <w:instrText xml:space="preserve"> \* MERGEFORMAT </w:instrText>
      </w:r>
      <w:r w:rsidRPr="008E51D1">
        <w:rPr>
          <w:b/>
          <w:lang w:val="en-US"/>
        </w:rPr>
        <w:fldChar w:fldCharType="separate"/>
      </w:r>
      <w:r w:rsidRPr="008E51D1">
        <w:rPr>
          <w:b/>
        </w:rPr>
        <w:t xml:space="preserve">Table </w:t>
      </w:r>
      <w:r w:rsidRPr="008E51D1">
        <w:rPr>
          <w:b/>
          <w:noProof/>
        </w:rPr>
        <w:t>1</w:t>
      </w:r>
      <w:r w:rsidRPr="008E51D1">
        <w:rPr>
          <w:b/>
          <w:lang w:val="en-US"/>
        </w:rPr>
        <w:fldChar w:fldCharType="end"/>
      </w:r>
      <w:r w:rsidRPr="008E51D1">
        <w:rPr>
          <w:b/>
          <w:lang w:val="en-US"/>
        </w:rPr>
        <w:t xml:space="preserve"> and </w:t>
      </w:r>
      <w:r w:rsidRPr="008E51D1">
        <w:rPr>
          <w:b/>
          <w:lang w:val="en-US"/>
        </w:rPr>
        <w:fldChar w:fldCharType="begin"/>
      </w:r>
      <w:r w:rsidRPr="008E51D1">
        <w:rPr>
          <w:b/>
          <w:lang w:val="en-US"/>
        </w:rPr>
        <w:instrText xml:space="preserve"> REF _Ref458788226 \h </w:instrText>
      </w:r>
      <w:r w:rsidRPr="008E51D1">
        <w:rPr>
          <w:b/>
          <w:lang w:val="en-US"/>
        </w:rPr>
      </w:r>
      <w:r w:rsidRPr="008E51D1">
        <w:rPr>
          <w:b/>
          <w:lang w:val="en-US"/>
        </w:rPr>
        <w:instrText xml:space="preserve"> \* MERGEFORMAT </w:instrText>
      </w:r>
      <w:r w:rsidRPr="008E51D1">
        <w:rPr>
          <w:b/>
          <w:lang w:val="en-US"/>
        </w:rPr>
        <w:fldChar w:fldCharType="separate"/>
      </w:r>
      <w:r w:rsidRPr="008E51D1">
        <w:rPr>
          <w:b/>
        </w:rPr>
        <w:t xml:space="preserve">Table </w:t>
      </w:r>
      <w:r w:rsidRPr="008E51D1">
        <w:rPr>
          <w:b/>
          <w:noProof/>
        </w:rPr>
        <w:t>2</w:t>
      </w:r>
      <w:r w:rsidRPr="008E51D1">
        <w:rPr>
          <w:b/>
          <w:lang w:val="en-US"/>
        </w:rPr>
        <w:fldChar w:fldCharType="end"/>
      </w:r>
      <w:r w:rsidRPr="008E51D1">
        <w:rPr>
          <w:b/>
          <w:lang w:val="en-US"/>
        </w:rPr>
        <w:t>).</w:t>
      </w:r>
    </w:p>
    <w:p w14:paraId="353876CC" w14:textId="77777777" w:rsidR="00554DE2" w:rsidRPr="008E51D1" w:rsidRDefault="00554DE2" w:rsidP="00554DE2">
      <w:pPr>
        <w:tabs>
          <w:tab w:val="left" w:pos="5816"/>
        </w:tabs>
        <w:jc w:val="both"/>
        <w:rPr>
          <w:b/>
          <w:lang w:val="en-US"/>
        </w:rPr>
      </w:pPr>
      <w:r w:rsidRPr="008E51D1">
        <w:rPr>
          <w:b/>
          <w:u w:val="single"/>
          <w:lang w:val="en-US"/>
        </w:rPr>
        <w:t xml:space="preserve">Proposal </w:t>
      </w:r>
      <w:r>
        <w:rPr>
          <w:b/>
          <w:u w:val="single"/>
          <w:lang w:val="en-US"/>
        </w:rPr>
        <w:t>3</w:t>
      </w:r>
      <w:r w:rsidRPr="00554DE2">
        <w:rPr>
          <w:b/>
          <w:lang w:val="en-US"/>
        </w:rPr>
        <w:t>:</w:t>
      </w:r>
      <w:r w:rsidRPr="008E51D1">
        <w:rPr>
          <w:b/>
          <w:lang w:val="en-US"/>
        </w:rPr>
        <w:t xml:space="preserve"> The requirements on the minimum accuracy of GNSS as specified in Section 6.2.1 of TS 36.171 should be taken into account while defining any requirements with GNSS as the synchronization source. </w:t>
      </w:r>
    </w:p>
    <w:p w14:paraId="5255515D" w14:textId="77777777" w:rsidR="00EB5D12" w:rsidRDefault="00EB5D12" w:rsidP="00EB5D12">
      <w:pPr>
        <w:jc w:val="both"/>
        <w:rPr>
          <w:lang w:val="en-US"/>
        </w:rPr>
      </w:pPr>
    </w:p>
    <w:p w14:paraId="2E1F2DB6" w14:textId="77777777" w:rsidR="00EB5D12" w:rsidRDefault="00EB5D12" w:rsidP="00EB5D12">
      <w:pPr>
        <w:pStyle w:val="Heading1"/>
        <w:jc w:val="both"/>
        <w:rPr>
          <w:lang w:val="en-US"/>
        </w:rPr>
      </w:pPr>
      <w:r>
        <w:rPr>
          <w:lang w:val="en-US"/>
        </w:rPr>
        <w:lastRenderedPageBreak/>
        <w:t>References</w:t>
      </w:r>
    </w:p>
    <w:p w14:paraId="7D29592F" w14:textId="23B0B819" w:rsidR="00EB5D12" w:rsidRPr="004C768B" w:rsidRDefault="00EB5D12" w:rsidP="00EB5D12">
      <w:pPr>
        <w:numPr>
          <w:ilvl w:val="0"/>
          <w:numId w:val="2"/>
        </w:numPr>
        <w:overflowPunct w:val="0"/>
        <w:autoSpaceDE w:val="0"/>
        <w:autoSpaceDN w:val="0"/>
        <w:adjustRightInd w:val="0"/>
        <w:spacing w:after="0"/>
        <w:jc w:val="both"/>
        <w:textAlignment w:val="baseline"/>
      </w:pPr>
      <w:bookmarkStart w:id="4" w:name="_Ref458772362"/>
      <w:bookmarkStart w:id="5" w:name="_Ref458783513"/>
      <w:r w:rsidRPr="00E8468C">
        <w:rPr>
          <w:lang w:val="en-US"/>
        </w:rPr>
        <w:t>R4-</w:t>
      </w:r>
      <w:bookmarkEnd w:id="4"/>
      <w:r>
        <w:rPr>
          <w:lang w:val="en-US"/>
        </w:rPr>
        <w:t>16</w:t>
      </w:r>
      <w:r w:rsidR="004C768B">
        <w:rPr>
          <w:lang w:val="en-US"/>
        </w:rPr>
        <w:t>6755</w:t>
      </w:r>
      <w:r>
        <w:rPr>
          <w:lang w:val="en-US"/>
        </w:rPr>
        <w:t>, “</w:t>
      </w:r>
      <w:r w:rsidRPr="006D6B2A">
        <w:rPr>
          <w:lang w:val="en-US"/>
        </w:rPr>
        <w:t xml:space="preserve">WF </w:t>
      </w:r>
      <w:r w:rsidR="004C768B">
        <w:rPr>
          <w:lang w:val="en-US"/>
        </w:rPr>
        <w:t>on way to close V2V RRM core requirement timely</w:t>
      </w:r>
      <w:r>
        <w:rPr>
          <w:lang w:val="en-US"/>
        </w:rPr>
        <w:t xml:space="preserve">”, LGE, </w:t>
      </w:r>
      <w:r w:rsidR="004C768B">
        <w:rPr>
          <w:lang w:val="en-US"/>
        </w:rPr>
        <w:t>Aug.</w:t>
      </w:r>
      <w:r>
        <w:rPr>
          <w:lang w:val="en-US"/>
        </w:rPr>
        <w:t>. 2016</w:t>
      </w:r>
      <w:bookmarkEnd w:id="5"/>
    </w:p>
    <w:p w14:paraId="25DC5247" w14:textId="77777777" w:rsidR="00713845" w:rsidRDefault="00713845"/>
    <w:sectPr w:rsidR="00713845"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Qualcomm User" w:date="2016-09-29T17:19:00Z" w:initials="QC">
    <w:p w14:paraId="52629DB3" w14:textId="3A69E35F" w:rsidR="007651D7" w:rsidRDefault="007651D7">
      <w:pPr>
        <w:pStyle w:val="CommentText"/>
      </w:pPr>
      <w:r>
        <w:rPr>
          <w:rStyle w:val="CommentReference"/>
        </w:rPr>
        <w:annotationRef/>
      </w:r>
      <w:r>
        <w:t>Missing reference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629DB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7011F" w14:textId="77777777" w:rsidR="00A25C4F" w:rsidRDefault="00523E1A">
      <w:pPr>
        <w:spacing w:after="0"/>
      </w:pPr>
      <w:r>
        <w:separator/>
      </w:r>
    </w:p>
  </w:endnote>
  <w:endnote w:type="continuationSeparator" w:id="0">
    <w:p w14:paraId="1445AF85" w14:textId="77777777" w:rsidR="00A25C4F" w:rsidRDefault="00523E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D04C0" w14:textId="77777777" w:rsidR="00854B44" w:rsidRDefault="00D0459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60BEA27" w14:textId="77777777" w:rsidR="00854B44" w:rsidRDefault="00401B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4ABE5" w14:textId="77777777" w:rsidR="00854B44" w:rsidRDefault="00D0459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01BC4">
      <w:rPr>
        <w:rStyle w:val="PageNumber"/>
      </w:rPr>
      <w:t>2</w:t>
    </w:r>
    <w:r>
      <w:rPr>
        <w:rStyle w:val="PageNumber"/>
      </w:rPr>
      <w:fldChar w:fldCharType="end"/>
    </w:r>
  </w:p>
  <w:p w14:paraId="5D53556B" w14:textId="77777777" w:rsidR="00854B44" w:rsidRDefault="00401BC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B86D7" w14:textId="77777777" w:rsidR="00A25C4F" w:rsidRDefault="00523E1A">
      <w:pPr>
        <w:spacing w:after="0"/>
      </w:pPr>
      <w:r>
        <w:separator/>
      </w:r>
    </w:p>
  </w:footnote>
  <w:footnote w:type="continuationSeparator" w:id="0">
    <w:p w14:paraId="6BE05036" w14:textId="77777777" w:rsidR="00A25C4F" w:rsidRDefault="00523E1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0D4480"/>
    <w:multiLevelType w:val="hybridMultilevel"/>
    <w:tmpl w:val="59BE33E8"/>
    <w:lvl w:ilvl="0" w:tplc="D4487264">
      <w:start w:val="1"/>
      <w:numFmt w:val="bullet"/>
      <w:lvlText w:val="•"/>
      <w:lvlJc w:val="left"/>
      <w:pPr>
        <w:tabs>
          <w:tab w:val="num" w:pos="1080"/>
        </w:tabs>
        <w:ind w:left="1080" w:hanging="360"/>
      </w:pPr>
      <w:rPr>
        <w:rFonts w:ascii="Arial" w:hAnsi="Arial" w:hint="default"/>
      </w:rPr>
    </w:lvl>
    <w:lvl w:ilvl="1" w:tplc="CA6288C4">
      <w:start w:val="1"/>
      <w:numFmt w:val="bullet"/>
      <w:lvlText w:val="•"/>
      <w:lvlJc w:val="left"/>
      <w:pPr>
        <w:tabs>
          <w:tab w:val="num" w:pos="1800"/>
        </w:tabs>
        <w:ind w:left="1800" w:hanging="360"/>
      </w:pPr>
      <w:rPr>
        <w:rFonts w:ascii="Arial" w:hAnsi="Arial" w:hint="default"/>
      </w:rPr>
    </w:lvl>
    <w:lvl w:ilvl="2" w:tplc="2AEE657E">
      <w:start w:val="1"/>
      <w:numFmt w:val="bullet"/>
      <w:lvlText w:val="•"/>
      <w:lvlJc w:val="left"/>
      <w:pPr>
        <w:tabs>
          <w:tab w:val="num" w:pos="2520"/>
        </w:tabs>
        <w:ind w:left="2520" w:hanging="360"/>
      </w:pPr>
      <w:rPr>
        <w:rFonts w:ascii="Arial" w:hAnsi="Arial" w:hint="default"/>
      </w:rPr>
    </w:lvl>
    <w:lvl w:ilvl="3" w:tplc="05D406CA">
      <w:start w:val="93"/>
      <w:numFmt w:val="bullet"/>
      <w:lvlText w:val="–"/>
      <w:lvlJc w:val="left"/>
      <w:pPr>
        <w:tabs>
          <w:tab w:val="num" w:pos="3240"/>
        </w:tabs>
        <w:ind w:left="3240" w:hanging="360"/>
      </w:pPr>
      <w:rPr>
        <w:rFonts w:ascii="Arial" w:hAnsi="Arial" w:hint="default"/>
      </w:rPr>
    </w:lvl>
    <w:lvl w:ilvl="4" w:tplc="C29A464E">
      <w:start w:val="93"/>
      <w:numFmt w:val="bullet"/>
      <w:lvlText w:val="»"/>
      <w:lvlJc w:val="left"/>
      <w:pPr>
        <w:tabs>
          <w:tab w:val="num" w:pos="3960"/>
        </w:tabs>
        <w:ind w:left="3960" w:hanging="360"/>
      </w:pPr>
      <w:rPr>
        <w:rFonts w:ascii="Arial" w:hAnsi="Arial" w:hint="default"/>
      </w:rPr>
    </w:lvl>
    <w:lvl w:ilvl="5" w:tplc="89F27AD4" w:tentative="1">
      <w:start w:val="1"/>
      <w:numFmt w:val="bullet"/>
      <w:lvlText w:val="•"/>
      <w:lvlJc w:val="left"/>
      <w:pPr>
        <w:tabs>
          <w:tab w:val="num" w:pos="4680"/>
        </w:tabs>
        <w:ind w:left="4680" w:hanging="360"/>
      </w:pPr>
      <w:rPr>
        <w:rFonts w:ascii="Arial" w:hAnsi="Arial" w:hint="default"/>
      </w:rPr>
    </w:lvl>
    <w:lvl w:ilvl="6" w:tplc="B0DEE93A" w:tentative="1">
      <w:start w:val="1"/>
      <w:numFmt w:val="bullet"/>
      <w:lvlText w:val="•"/>
      <w:lvlJc w:val="left"/>
      <w:pPr>
        <w:tabs>
          <w:tab w:val="num" w:pos="5400"/>
        </w:tabs>
        <w:ind w:left="5400" w:hanging="360"/>
      </w:pPr>
      <w:rPr>
        <w:rFonts w:ascii="Arial" w:hAnsi="Arial" w:hint="default"/>
      </w:rPr>
    </w:lvl>
    <w:lvl w:ilvl="7" w:tplc="F6605D6E" w:tentative="1">
      <w:start w:val="1"/>
      <w:numFmt w:val="bullet"/>
      <w:lvlText w:val="•"/>
      <w:lvlJc w:val="left"/>
      <w:pPr>
        <w:tabs>
          <w:tab w:val="num" w:pos="6120"/>
        </w:tabs>
        <w:ind w:left="6120" w:hanging="360"/>
      </w:pPr>
      <w:rPr>
        <w:rFonts w:ascii="Arial" w:hAnsi="Arial" w:hint="default"/>
      </w:rPr>
    </w:lvl>
    <w:lvl w:ilvl="8" w:tplc="C7FC9F2E" w:tentative="1">
      <w:start w:val="1"/>
      <w:numFmt w:val="bullet"/>
      <w:lvlText w:val="•"/>
      <w:lvlJc w:val="left"/>
      <w:pPr>
        <w:tabs>
          <w:tab w:val="num" w:pos="6840"/>
        </w:tabs>
        <w:ind w:left="6840" w:hanging="360"/>
      </w:pPr>
      <w:rPr>
        <w:rFonts w:ascii="Arial" w:hAnsi="Arial" w:hint="default"/>
      </w:rPr>
    </w:lvl>
  </w:abstractNum>
  <w:abstractNum w:abstractNumId="1" w15:restartNumberingAfterBreak="0">
    <w:nsid w:val="152568A1"/>
    <w:multiLevelType w:val="hybridMultilevel"/>
    <w:tmpl w:val="81B47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4F59F0"/>
    <w:multiLevelType w:val="multilevel"/>
    <w:tmpl w:val="DB48F05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4F1A5787"/>
    <w:multiLevelType w:val="hybridMultilevel"/>
    <w:tmpl w:val="C66EE45C"/>
    <w:lvl w:ilvl="0" w:tplc="DE52B082">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 w15:restartNumberingAfterBreak="0">
    <w:nsid w:val="71355504"/>
    <w:multiLevelType w:val="hybridMultilevel"/>
    <w:tmpl w:val="92182D8C"/>
    <w:lvl w:ilvl="0" w:tplc="BF8E3612">
      <w:start w:val="1"/>
      <w:numFmt w:val="bullet"/>
      <w:lvlText w:val="•"/>
      <w:lvlJc w:val="left"/>
      <w:pPr>
        <w:tabs>
          <w:tab w:val="num" w:pos="720"/>
        </w:tabs>
        <w:ind w:left="720" w:hanging="360"/>
      </w:pPr>
      <w:rPr>
        <w:rFonts w:ascii="Arial" w:hAnsi="Arial" w:hint="default"/>
      </w:rPr>
    </w:lvl>
    <w:lvl w:ilvl="1" w:tplc="B5C25838">
      <w:start w:val="1"/>
      <w:numFmt w:val="bullet"/>
      <w:lvlText w:val="•"/>
      <w:lvlJc w:val="left"/>
      <w:pPr>
        <w:tabs>
          <w:tab w:val="num" w:pos="1440"/>
        </w:tabs>
        <w:ind w:left="1440" w:hanging="360"/>
      </w:pPr>
      <w:rPr>
        <w:rFonts w:ascii="Arial" w:hAnsi="Arial" w:hint="default"/>
      </w:rPr>
    </w:lvl>
    <w:lvl w:ilvl="2" w:tplc="AE86B958" w:tentative="1">
      <w:start w:val="1"/>
      <w:numFmt w:val="bullet"/>
      <w:lvlText w:val="•"/>
      <w:lvlJc w:val="left"/>
      <w:pPr>
        <w:tabs>
          <w:tab w:val="num" w:pos="2160"/>
        </w:tabs>
        <w:ind w:left="2160" w:hanging="360"/>
      </w:pPr>
      <w:rPr>
        <w:rFonts w:ascii="Arial" w:hAnsi="Arial" w:hint="default"/>
      </w:rPr>
    </w:lvl>
    <w:lvl w:ilvl="3" w:tplc="DD4AF91A" w:tentative="1">
      <w:start w:val="1"/>
      <w:numFmt w:val="bullet"/>
      <w:lvlText w:val="•"/>
      <w:lvlJc w:val="left"/>
      <w:pPr>
        <w:tabs>
          <w:tab w:val="num" w:pos="2880"/>
        </w:tabs>
        <w:ind w:left="2880" w:hanging="360"/>
      </w:pPr>
      <w:rPr>
        <w:rFonts w:ascii="Arial" w:hAnsi="Arial" w:hint="default"/>
      </w:rPr>
    </w:lvl>
    <w:lvl w:ilvl="4" w:tplc="F7DC6C56" w:tentative="1">
      <w:start w:val="1"/>
      <w:numFmt w:val="bullet"/>
      <w:lvlText w:val="•"/>
      <w:lvlJc w:val="left"/>
      <w:pPr>
        <w:tabs>
          <w:tab w:val="num" w:pos="3600"/>
        </w:tabs>
        <w:ind w:left="3600" w:hanging="360"/>
      </w:pPr>
      <w:rPr>
        <w:rFonts w:ascii="Arial" w:hAnsi="Arial" w:hint="default"/>
      </w:rPr>
    </w:lvl>
    <w:lvl w:ilvl="5" w:tplc="A9824B4C" w:tentative="1">
      <w:start w:val="1"/>
      <w:numFmt w:val="bullet"/>
      <w:lvlText w:val="•"/>
      <w:lvlJc w:val="left"/>
      <w:pPr>
        <w:tabs>
          <w:tab w:val="num" w:pos="4320"/>
        </w:tabs>
        <w:ind w:left="4320" w:hanging="360"/>
      </w:pPr>
      <w:rPr>
        <w:rFonts w:ascii="Arial" w:hAnsi="Arial" w:hint="default"/>
      </w:rPr>
    </w:lvl>
    <w:lvl w:ilvl="6" w:tplc="3A6CB40E" w:tentative="1">
      <w:start w:val="1"/>
      <w:numFmt w:val="bullet"/>
      <w:lvlText w:val="•"/>
      <w:lvlJc w:val="left"/>
      <w:pPr>
        <w:tabs>
          <w:tab w:val="num" w:pos="5040"/>
        </w:tabs>
        <w:ind w:left="5040" w:hanging="360"/>
      </w:pPr>
      <w:rPr>
        <w:rFonts w:ascii="Arial" w:hAnsi="Arial" w:hint="default"/>
      </w:rPr>
    </w:lvl>
    <w:lvl w:ilvl="7" w:tplc="FDDCA6AA" w:tentative="1">
      <w:start w:val="1"/>
      <w:numFmt w:val="bullet"/>
      <w:lvlText w:val="•"/>
      <w:lvlJc w:val="left"/>
      <w:pPr>
        <w:tabs>
          <w:tab w:val="num" w:pos="5760"/>
        </w:tabs>
        <w:ind w:left="5760" w:hanging="360"/>
      </w:pPr>
      <w:rPr>
        <w:rFonts w:ascii="Arial" w:hAnsi="Arial" w:hint="default"/>
      </w:rPr>
    </w:lvl>
    <w:lvl w:ilvl="8" w:tplc="3CA2A33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4"/>
  </w:num>
  <w:num w:numId="3">
    <w:abstractNumId w:val="3"/>
  </w:num>
  <w:num w:numId="4">
    <w:abstractNumId w:val="5"/>
  </w:num>
  <w:num w:numId="5">
    <w:abstractNumId w:val="1"/>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revisionView w:markup="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845"/>
    <w:rsid w:val="001A6589"/>
    <w:rsid w:val="00400EA4"/>
    <w:rsid w:val="00401BC4"/>
    <w:rsid w:val="004C768B"/>
    <w:rsid w:val="00523E1A"/>
    <w:rsid w:val="00554DE2"/>
    <w:rsid w:val="0064336B"/>
    <w:rsid w:val="00713845"/>
    <w:rsid w:val="007651D7"/>
    <w:rsid w:val="007F5350"/>
    <w:rsid w:val="00A25C4F"/>
    <w:rsid w:val="00AB1C78"/>
    <w:rsid w:val="00AB1DCF"/>
    <w:rsid w:val="00C07930"/>
    <w:rsid w:val="00D04591"/>
    <w:rsid w:val="00D73FA4"/>
    <w:rsid w:val="00EB5D12"/>
    <w:rsid w:val="00F57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14:docId w14:val="25DC5247"/>
  <w15:chartTrackingRefBased/>
  <w15:docId w15:val="{5AEC9DD6-57E8-4E37-80D4-9CA637910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4DE2"/>
    <w:pPr>
      <w:spacing w:after="180" w:line="240" w:lineRule="auto"/>
    </w:pPr>
    <w:rPr>
      <w:rFonts w:ascii="Times New Roman" w:eastAsia="MS Mincho" w:hAnsi="Times New Roman" w:cs="Times New Roman"/>
      <w:sz w:val="20"/>
      <w:szCs w:val="20"/>
      <w:lang w:val="en-GB"/>
    </w:rPr>
  </w:style>
  <w:style w:type="paragraph" w:styleId="Heading1">
    <w:name w:val="heading 1"/>
    <w:aliases w:val="H1"/>
    <w:next w:val="Normal"/>
    <w:link w:val="Heading1Char"/>
    <w:qFormat/>
    <w:rsid w:val="00EB5D12"/>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EB5D1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EB5D12"/>
    <w:pPr>
      <w:numPr>
        <w:ilvl w:val="2"/>
      </w:numPr>
      <w:spacing w:before="120"/>
      <w:outlineLvl w:val="2"/>
    </w:pPr>
    <w:rPr>
      <w:sz w:val="28"/>
    </w:rPr>
  </w:style>
  <w:style w:type="paragraph" w:styleId="Heading4">
    <w:name w:val="heading 4"/>
    <w:aliases w:val="h4"/>
    <w:basedOn w:val="Heading3"/>
    <w:next w:val="Normal"/>
    <w:link w:val="Heading4Char"/>
    <w:qFormat/>
    <w:rsid w:val="00EB5D12"/>
    <w:pPr>
      <w:numPr>
        <w:ilvl w:val="3"/>
      </w:numPr>
      <w:outlineLvl w:val="3"/>
    </w:pPr>
    <w:rPr>
      <w:sz w:val="24"/>
    </w:rPr>
  </w:style>
  <w:style w:type="paragraph" w:styleId="Heading5">
    <w:name w:val="heading 5"/>
    <w:aliases w:val="h5,Heading5"/>
    <w:basedOn w:val="Heading4"/>
    <w:next w:val="Normal"/>
    <w:link w:val="Heading5Char"/>
    <w:qFormat/>
    <w:rsid w:val="00EB5D12"/>
    <w:pPr>
      <w:numPr>
        <w:ilvl w:val="5"/>
      </w:numPr>
      <w:outlineLvl w:val="4"/>
    </w:pPr>
    <w:rPr>
      <w:sz w:val="22"/>
    </w:rPr>
  </w:style>
  <w:style w:type="paragraph" w:styleId="Heading7">
    <w:name w:val="heading 7"/>
    <w:basedOn w:val="Normal"/>
    <w:next w:val="Normal"/>
    <w:link w:val="Heading7Char"/>
    <w:qFormat/>
    <w:rsid w:val="00EB5D12"/>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B5D12"/>
    <w:pPr>
      <w:numPr>
        <w:ilvl w:val="7"/>
      </w:numPr>
      <w:outlineLvl w:val="7"/>
    </w:pPr>
  </w:style>
  <w:style w:type="paragraph" w:styleId="Heading9">
    <w:name w:val="heading 9"/>
    <w:basedOn w:val="Heading8"/>
    <w:next w:val="Normal"/>
    <w:link w:val="Heading9Char"/>
    <w:qFormat/>
    <w:rsid w:val="00EB5D1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B5D12"/>
    <w:rPr>
      <w:rFonts w:ascii="Arial" w:eastAsia="MS Mincho" w:hAnsi="Arial" w:cs="Times New Roman"/>
      <w:sz w:val="36"/>
      <w:szCs w:val="20"/>
      <w:lang w:val="en-GB"/>
    </w:rPr>
  </w:style>
  <w:style w:type="character" w:customStyle="1" w:styleId="Heading2Char">
    <w:name w:val="Heading 2 Char"/>
    <w:basedOn w:val="DefaultParagraphFont"/>
    <w:link w:val="Heading2"/>
    <w:rsid w:val="00EB5D12"/>
    <w:rPr>
      <w:rFonts w:ascii="Arial" w:eastAsia="MS Mincho" w:hAnsi="Arial" w:cs="Times New Roman"/>
      <w:sz w:val="32"/>
      <w:szCs w:val="20"/>
      <w:lang w:val="en-GB"/>
    </w:rPr>
  </w:style>
  <w:style w:type="character" w:customStyle="1" w:styleId="Heading3Char">
    <w:name w:val="Heading 3 Char"/>
    <w:basedOn w:val="DefaultParagraphFont"/>
    <w:link w:val="Heading3"/>
    <w:rsid w:val="00EB5D12"/>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EB5D12"/>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EB5D12"/>
    <w:rPr>
      <w:rFonts w:ascii="Arial" w:eastAsia="MS Mincho" w:hAnsi="Arial" w:cs="Times New Roman"/>
      <w:szCs w:val="20"/>
      <w:lang w:val="en-GB"/>
    </w:rPr>
  </w:style>
  <w:style w:type="character" w:customStyle="1" w:styleId="Heading7Char">
    <w:name w:val="Heading 7 Char"/>
    <w:basedOn w:val="DefaultParagraphFont"/>
    <w:link w:val="Heading7"/>
    <w:rsid w:val="00EB5D12"/>
    <w:rPr>
      <w:rFonts w:ascii="Arial" w:eastAsia="MS Mincho" w:hAnsi="Arial" w:cs="Times New Roman"/>
      <w:sz w:val="20"/>
      <w:szCs w:val="20"/>
      <w:lang w:val="en-GB"/>
    </w:rPr>
  </w:style>
  <w:style w:type="character" w:customStyle="1" w:styleId="Heading8Char">
    <w:name w:val="Heading 8 Char"/>
    <w:basedOn w:val="DefaultParagraphFont"/>
    <w:link w:val="Heading8"/>
    <w:rsid w:val="00EB5D12"/>
    <w:rPr>
      <w:rFonts w:ascii="Arial" w:eastAsia="MS Mincho" w:hAnsi="Arial" w:cs="Times New Roman"/>
      <w:sz w:val="36"/>
      <w:szCs w:val="20"/>
      <w:lang w:val="en-GB"/>
    </w:rPr>
  </w:style>
  <w:style w:type="character" w:customStyle="1" w:styleId="Heading9Char">
    <w:name w:val="Heading 9 Char"/>
    <w:basedOn w:val="DefaultParagraphFont"/>
    <w:link w:val="Heading9"/>
    <w:rsid w:val="00EB5D12"/>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B5D12"/>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EB5D12"/>
    <w:rPr>
      <w:rFonts w:ascii="Arial" w:eastAsia="MS Mincho" w:hAnsi="Arial" w:cs="Times New Roman"/>
      <w:b/>
      <w:noProof/>
      <w:sz w:val="18"/>
      <w:szCs w:val="20"/>
    </w:rPr>
  </w:style>
  <w:style w:type="paragraph" w:styleId="Footer">
    <w:name w:val="footer"/>
    <w:basedOn w:val="Header"/>
    <w:link w:val="FooterChar"/>
    <w:rsid w:val="00EB5D12"/>
    <w:pPr>
      <w:jc w:val="center"/>
    </w:pPr>
    <w:rPr>
      <w:i/>
    </w:rPr>
  </w:style>
  <w:style w:type="character" w:customStyle="1" w:styleId="FooterChar">
    <w:name w:val="Footer Char"/>
    <w:basedOn w:val="DefaultParagraphFont"/>
    <w:link w:val="Footer"/>
    <w:rsid w:val="00EB5D12"/>
    <w:rPr>
      <w:rFonts w:ascii="Arial" w:eastAsia="MS Mincho" w:hAnsi="Arial" w:cs="Times New Roman"/>
      <w:b/>
      <w:i/>
      <w:noProof/>
      <w:sz w:val="18"/>
      <w:szCs w:val="20"/>
    </w:rPr>
  </w:style>
  <w:style w:type="paragraph" w:customStyle="1" w:styleId="TAL">
    <w:name w:val="TAL"/>
    <w:basedOn w:val="Normal"/>
    <w:link w:val="TALCar"/>
    <w:rsid w:val="00EB5D12"/>
    <w:pPr>
      <w:keepNext/>
      <w:keepLines/>
      <w:spacing w:after="0"/>
    </w:pPr>
    <w:rPr>
      <w:rFonts w:ascii="Arial" w:hAnsi="Arial"/>
      <w:sz w:val="18"/>
    </w:rPr>
  </w:style>
  <w:style w:type="paragraph" w:customStyle="1" w:styleId="TAH">
    <w:name w:val="TAH"/>
    <w:basedOn w:val="TAC"/>
    <w:link w:val="TAHCar"/>
    <w:rsid w:val="00EB5D12"/>
    <w:rPr>
      <w:b/>
    </w:rPr>
  </w:style>
  <w:style w:type="paragraph" w:customStyle="1" w:styleId="TAC">
    <w:name w:val="TAC"/>
    <w:basedOn w:val="TAL"/>
    <w:link w:val="TACChar"/>
    <w:rsid w:val="00EB5D12"/>
    <w:pPr>
      <w:jc w:val="center"/>
    </w:pPr>
  </w:style>
  <w:style w:type="paragraph" w:customStyle="1" w:styleId="TH">
    <w:name w:val="TH"/>
    <w:basedOn w:val="Normal"/>
    <w:link w:val="THChar"/>
    <w:rsid w:val="00EB5D12"/>
    <w:pPr>
      <w:keepNext/>
      <w:keepLines/>
      <w:spacing w:before="60"/>
      <w:jc w:val="center"/>
    </w:pPr>
    <w:rPr>
      <w:rFonts w:ascii="Arial" w:hAnsi="Arial"/>
      <w:b/>
    </w:rPr>
  </w:style>
  <w:style w:type="paragraph" w:customStyle="1" w:styleId="TAN">
    <w:name w:val="TAN"/>
    <w:basedOn w:val="TAL"/>
    <w:link w:val="TANChar"/>
    <w:rsid w:val="00EB5D12"/>
    <w:pPr>
      <w:ind w:left="851" w:hanging="851"/>
    </w:p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EB5D12"/>
    <w:pPr>
      <w:spacing w:before="120" w:after="120"/>
    </w:pPr>
    <w:rPr>
      <w:b/>
    </w:rPr>
  </w:style>
  <w:style w:type="character" w:styleId="PageNumber">
    <w:name w:val="page number"/>
    <w:basedOn w:val="DefaultParagraphFont"/>
    <w:rsid w:val="00EB5D12"/>
  </w:style>
  <w:style w:type="paragraph" w:customStyle="1" w:styleId="CRCoverPage">
    <w:name w:val="CR Cover Page"/>
    <w:rsid w:val="00EB5D12"/>
    <w:pPr>
      <w:spacing w:after="120" w:line="240" w:lineRule="auto"/>
    </w:pPr>
    <w:rPr>
      <w:rFonts w:ascii="Arial" w:eastAsia="MS Mincho" w:hAnsi="Arial" w:cs="Times New Roman"/>
      <w:sz w:val="20"/>
      <w:szCs w:val="20"/>
      <w:lang w:val="en-GB"/>
    </w:rPr>
  </w:style>
  <w:style w:type="character" w:customStyle="1" w:styleId="THChar">
    <w:name w:val="TH Char"/>
    <w:link w:val="TH"/>
    <w:rsid w:val="00EB5D12"/>
    <w:rPr>
      <w:rFonts w:ascii="Arial" w:eastAsia="MS Mincho" w:hAnsi="Arial" w:cs="Times New Roman"/>
      <w:b/>
      <w:sz w:val="20"/>
      <w:szCs w:val="20"/>
      <w:lang w:val="en-GB"/>
    </w:rPr>
  </w:style>
  <w:style w:type="character" w:customStyle="1" w:styleId="TACChar">
    <w:name w:val="TAC Char"/>
    <w:link w:val="TAC"/>
    <w:rsid w:val="00EB5D12"/>
    <w:rPr>
      <w:rFonts w:ascii="Arial" w:eastAsia="MS Mincho" w:hAnsi="Arial" w:cs="Times New Roman"/>
      <w:sz w:val="18"/>
      <w:szCs w:val="20"/>
      <w:lang w:val="en-GB"/>
    </w:rPr>
  </w:style>
  <w:style w:type="character" w:customStyle="1" w:styleId="TALCar">
    <w:name w:val="TAL Car"/>
    <w:link w:val="TAL"/>
    <w:rsid w:val="00EB5D12"/>
    <w:rPr>
      <w:rFonts w:ascii="Arial" w:eastAsia="MS Mincho" w:hAnsi="Arial" w:cs="Times New Roman"/>
      <w:sz w:val="18"/>
      <w:szCs w:val="20"/>
      <w:lang w:val="en-GB"/>
    </w:rPr>
  </w:style>
  <w:style w:type="character" w:customStyle="1" w:styleId="TAHCar">
    <w:name w:val="TAH Car"/>
    <w:link w:val="TAH"/>
    <w:rsid w:val="00EB5D12"/>
    <w:rPr>
      <w:rFonts w:ascii="Arial" w:eastAsia="MS Mincho" w:hAnsi="Arial" w:cs="Times New Roman"/>
      <w:b/>
      <w:sz w:val="18"/>
      <w:szCs w:val="20"/>
      <w:lang w:val="en-GB"/>
    </w:rPr>
  </w:style>
  <w:style w:type="character" w:customStyle="1" w:styleId="TANChar">
    <w:name w:val="TAN Char"/>
    <w:link w:val="TAN"/>
    <w:rsid w:val="00EB5D12"/>
    <w:rPr>
      <w:rFonts w:ascii="Arial" w:eastAsia="MS Mincho" w:hAnsi="Arial" w:cs="Times New Roman"/>
      <w:sz w:val="18"/>
      <w:szCs w:val="20"/>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EB5D12"/>
    <w:rPr>
      <w:rFonts w:ascii="Times New Roman" w:eastAsia="MS Mincho" w:hAnsi="Times New Roman" w:cs="Times New Roman"/>
      <w:b/>
      <w:sz w:val="20"/>
      <w:szCs w:val="20"/>
      <w:lang w:val="en-GB"/>
    </w:rPr>
  </w:style>
  <w:style w:type="paragraph" w:customStyle="1" w:styleId="LGTdoc">
    <w:name w:val="LGTdoc_본문"/>
    <w:basedOn w:val="Normal"/>
    <w:rsid w:val="00EB5D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styleId="ListParagraph">
    <w:name w:val="List Paragraph"/>
    <w:basedOn w:val="Normal"/>
    <w:uiPriority w:val="34"/>
    <w:qFormat/>
    <w:rsid w:val="007F5350"/>
    <w:pPr>
      <w:ind w:left="720"/>
      <w:contextualSpacing/>
    </w:pPr>
  </w:style>
  <w:style w:type="character" w:styleId="CommentReference">
    <w:name w:val="annotation reference"/>
    <w:basedOn w:val="DefaultParagraphFont"/>
    <w:uiPriority w:val="99"/>
    <w:semiHidden/>
    <w:unhideWhenUsed/>
    <w:rsid w:val="007651D7"/>
    <w:rPr>
      <w:sz w:val="16"/>
      <w:szCs w:val="16"/>
    </w:rPr>
  </w:style>
  <w:style w:type="paragraph" w:styleId="CommentText">
    <w:name w:val="annotation text"/>
    <w:basedOn w:val="Normal"/>
    <w:link w:val="CommentTextChar"/>
    <w:uiPriority w:val="99"/>
    <w:semiHidden/>
    <w:unhideWhenUsed/>
    <w:rsid w:val="007651D7"/>
  </w:style>
  <w:style w:type="character" w:customStyle="1" w:styleId="CommentTextChar">
    <w:name w:val="Comment Text Char"/>
    <w:basedOn w:val="DefaultParagraphFont"/>
    <w:link w:val="CommentText"/>
    <w:uiPriority w:val="99"/>
    <w:semiHidden/>
    <w:rsid w:val="007651D7"/>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651D7"/>
    <w:rPr>
      <w:b/>
      <w:bCs/>
    </w:rPr>
  </w:style>
  <w:style w:type="character" w:customStyle="1" w:styleId="CommentSubjectChar">
    <w:name w:val="Comment Subject Char"/>
    <w:basedOn w:val="CommentTextChar"/>
    <w:link w:val="CommentSubject"/>
    <w:uiPriority w:val="99"/>
    <w:semiHidden/>
    <w:rsid w:val="007651D7"/>
    <w:rPr>
      <w:rFonts w:ascii="Times New Roman" w:eastAsia="MS Mincho" w:hAnsi="Times New Roman" w:cs="Times New Roman"/>
      <w:b/>
      <w:bCs/>
      <w:sz w:val="20"/>
      <w:szCs w:val="20"/>
      <w:lang w:val="en-GB"/>
    </w:rPr>
  </w:style>
  <w:style w:type="paragraph" w:styleId="BalloonText">
    <w:name w:val="Balloon Text"/>
    <w:basedOn w:val="Normal"/>
    <w:link w:val="BalloonTextChar"/>
    <w:uiPriority w:val="99"/>
    <w:semiHidden/>
    <w:unhideWhenUsed/>
    <w:rsid w:val="007651D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51D7"/>
    <w:rPr>
      <w:rFonts w:ascii="Segoe UI" w:eastAsia="MS Mincho" w:hAnsi="Segoe UI" w:cs="Segoe UI"/>
      <w:sz w:val="18"/>
      <w:szCs w:val="18"/>
      <w:lang w:val="en-GB"/>
    </w:rPr>
  </w:style>
  <w:style w:type="paragraph" w:styleId="Revision">
    <w:name w:val="Revision"/>
    <w:hidden/>
    <w:uiPriority w:val="99"/>
    <w:semiHidden/>
    <w:rsid w:val="00554DE2"/>
    <w:pPr>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48081">
      <w:bodyDiv w:val="1"/>
      <w:marLeft w:val="0"/>
      <w:marRight w:val="0"/>
      <w:marTop w:val="0"/>
      <w:marBottom w:val="0"/>
      <w:divBdr>
        <w:top w:val="none" w:sz="0" w:space="0" w:color="auto"/>
        <w:left w:val="none" w:sz="0" w:space="0" w:color="auto"/>
        <w:bottom w:val="none" w:sz="0" w:space="0" w:color="auto"/>
        <w:right w:val="none" w:sz="0" w:space="0" w:color="auto"/>
      </w:divBdr>
      <w:divsChild>
        <w:div w:id="218326639">
          <w:marLeft w:val="1800"/>
          <w:marRight w:val="0"/>
          <w:marTop w:val="96"/>
          <w:marBottom w:val="0"/>
          <w:divBdr>
            <w:top w:val="none" w:sz="0" w:space="0" w:color="auto"/>
            <w:left w:val="none" w:sz="0" w:space="0" w:color="auto"/>
            <w:bottom w:val="none" w:sz="0" w:space="0" w:color="auto"/>
            <w:right w:val="none" w:sz="0" w:space="0" w:color="auto"/>
          </w:divBdr>
        </w:div>
        <w:div w:id="1342656613">
          <w:marLeft w:val="2520"/>
          <w:marRight w:val="0"/>
          <w:marTop w:val="91"/>
          <w:marBottom w:val="0"/>
          <w:divBdr>
            <w:top w:val="none" w:sz="0" w:space="0" w:color="auto"/>
            <w:left w:val="none" w:sz="0" w:space="0" w:color="auto"/>
            <w:bottom w:val="none" w:sz="0" w:space="0" w:color="auto"/>
            <w:right w:val="none" w:sz="0" w:space="0" w:color="auto"/>
          </w:divBdr>
        </w:div>
        <w:div w:id="906065416">
          <w:marLeft w:val="3240"/>
          <w:marRight w:val="0"/>
          <w:marTop w:val="91"/>
          <w:marBottom w:val="0"/>
          <w:divBdr>
            <w:top w:val="none" w:sz="0" w:space="0" w:color="auto"/>
            <w:left w:val="none" w:sz="0" w:space="0" w:color="auto"/>
            <w:bottom w:val="none" w:sz="0" w:space="0" w:color="auto"/>
            <w:right w:val="none" w:sz="0" w:space="0" w:color="auto"/>
          </w:divBdr>
        </w:div>
        <w:div w:id="705830922">
          <w:marLeft w:val="3240"/>
          <w:marRight w:val="0"/>
          <w:marTop w:val="91"/>
          <w:marBottom w:val="0"/>
          <w:divBdr>
            <w:top w:val="none" w:sz="0" w:space="0" w:color="auto"/>
            <w:left w:val="none" w:sz="0" w:space="0" w:color="auto"/>
            <w:bottom w:val="none" w:sz="0" w:space="0" w:color="auto"/>
            <w:right w:val="none" w:sz="0" w:space="0" w:color="auto"/>
          </w:divBdr>
        </w:div>
        <w:div w:id="4670903">
          <w:marLeft w:val="3240"/>
          <w:marRight w:val="0"/>
          <w:marTop w:val="77"/>
          <w:marBottom w:val="0"/>
          <w:divBdr>
            <w:top w:val="none" w:sz="0" w:space="0" w:color="auto"/>
            <w:left w:val="none" w:sz="0" w:space="0" w:color="auto"/>
            <w:bottom w:val="none" w:sz="0" w:space="0" w:color="auto"/>
            <w:right w:val="none" w:sz="0" w:space="0" w:color="auto"/>
          </w:divBdr>
        </w:div>
        <w:div w:id="1966543117">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_dlc_DocId xmlns="17c5c574-4f42-45b3-8a7f-77d8e859d074">H4P5ACNAWDMP-2-12742</_dlc_DocId>
    <_dlc_DocIdUrl xmlns="17c5c574-4f42-45b3-8a7f-77d8e859d074">
      <Url>https://projects.qualcomm.com/sites/LTED/_layouts/15/DocIdRedir.aspx?ID=H4P5ACNAWDMP-2-12742</Url>
      <Description>H4P5ACNAWDMP-2-12742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29DB75-9C57-4DAC-A429-3920356FECE2}">
  <ds:schemaRefs>
    <ds:schemaRef ds:uri="http://schemas.microsoft.com/office/2006/documentManagement/types"/>
    <ds:schemaRef ds:uri="http://purl.org/dc/terms/"/>
    <ds:schemaRef ds:uri="http://schemas.microsoft.com/office/infopath/2007/PartnerControls"/>
    <ds:schemaRef ds:uri="http://www.w3.org/XML/1998/namespace"/>
    <ds:schemaRef ds:uri="17c5c574-4f42-45b3-8a7f-77d8e859d074"/>
    <ds:schemaRef ds:uri="http://purl.org/dc/dcmitype/"/>
    <ds:schemaRef ds:uri="http://schemas.microsoft.com/office/2006/metadata/properties"/>
    <ds:schemaRef ds:uri="http://purl.org/dc/elements/1.1/"/>
    <ds:schemaRef ds:uri="http://schemas.openxmlformats.org/package/2006/metadata/core-properties"/>
    <ds:schemaRef ds:uri="http://schemas.microsoft.com/sharepoint/v4"/>
    <ds:schemaRef ds:uri="66EEDB98-F073-460B-B9B0-9643F9FE785E"/>
    <ds:schemaRef ds:uri="http://schemas.microsoft.com/sharepoint/v3"/>
  </ds:schemaRefs>
</ds:datastoreItem>
</file>

<file path=customXml/itemProps2.xml><?xml version="1.0" encoding="utf-8"?>
<ds:datastoreItem xmlns:ds="http://schemas.openxmlformats.org/officeDocument/2006/customXml" ds:itemID="{F8E3E9A3-A3BF-4966-8970-3CEA6A600599}">
  <ds:schemaRefs>
    <ds:schemaRef ds:uri="http://schemas.microsoft.com/sharepoint/v3/contenttype/forms"/>
  </ds:schemaRefs>
</ds:datastoreItem>
</file>

<file path=customXml/itemProps3.xml><?xml version="1.0" encoding="utf-8"?>
<ds:datastoreItem xmlns:ds="http://schemas.openxmlformats.org/officeDocument/2006/customXml" ds:itemID="{2117205A-38EB-48CD-BB6D-BCE6390032EF}">
  <ds:schemaRefs>
    <ds:schemaRef ds:uri="http://schemas.microsoft.com/sharepoint/events"/>
  </ds:schemaRefs>
</ds:datastoreItem>
</file>

<file path=customXml/itemProps4.xml><?xml version="1.0" encoding="utf-8"?>
<ds:datastoreItem xmlns:ds="http://schemas.openxmlformats.org/officeDocument/2006/customXml" ds:itemID="{61D25742-5686-4722-B32D-9F7060DB7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1130</Words>
  <Characters>6447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Viet</dc:creator>
  <cp:keywords/>
  <dc:description/>
  <cp:lastModifiedBy>Viet Nguyen</cp:lastModifiedBy>
  <cp:revision>2</cp:revision>
  <dcterms:created xsi:type="dcterms:W3CDTF">2016-09-30T19:23:00Z</dcterms:created>
  <dcterms:modified xsi:type="dcterms:W3CDTF">2016-09-30T19:23:00Z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0x0101008A98423170284BEEB635F43C3CF4E98B00C295C80E1AC1FA4D858807D5CFC8A6BB</vt:lpwstr>
  </property>
  <property fmtid="{D5CDD505-2E9C-101B-9397-08002B2CF9AE}" pid="3" name="_dlc_DocIdItemGuid">
    <vt:lpwstr>f1131023-8ae2-49f5-bd06-7abf3ddcd2a9</vt:lpwstr>
  </property>
</Properties>
</file>